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4067"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6B35758C"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7CEB7CA8"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711A4286"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1776F483"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498EF35F"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0C1B5CAE"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10BF3889"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12E89186" w14:textId="543CF72C"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7F238C88" w14:textId="77777777" w:rsidR="00F813CC" w:rsidRPr="00D31E78" w:rsidRDefault="00F813CC" w:rsidP="00F813CC">
      <w:pPr>
        <w:spacing w:after="120" w:line="340" w:lineRule="exact"/>
        <w:ind w:firstLine="709"/>
        <w:jc w:val="center"/>
        <w:rPr>
          <w:rFonts w:ascii="Times New Roman" w:hAnsi="Times New Roman" w:cs="Times New Roman"/>
          <w:sz w:val="24"/>
          <w:szCs w:val="24"/>
          <w:lang w:val="en-US"/>
        </w:rPr>
      </w:pPr>
    </w:p>
    <w:p w14:paraId="11D328DB" w14:textId="77777777" w:rsidR="00F813CC" w:rsidRPr="00D31E78" w:rsidRDefault="00F813CC" w:rsidP="00F813CC">
      <w:pPr>
        <w:spacing w:after="120" w:line="340" w:lineRule="exact"/>
        <w:ind w:firstLine="709"/>
        <w:jc w:val="center"/>
        <w:rPr>
          <w:rFonts w:ascii="Times New Roman" w:hAnsi="Times New Roman" w:cs="Times New Roman"/>
          <w:b/>
          <w:sz w:val="36"/>
          <w:szCs w:val="24"/>
          <w:lang w:val="en-US"/>
        </w:rPr>
      </w:pPr>
    </w:p>
    <w:p w14:paraId="6CD31F50" w14:textId="77777777" w:rsidR="00F813CC" w:rsidRPr="00D31E78" w:rsidRDefault="00F813CC" w:rsidP="00D31E78">
      <w:pPr>
        <w:spacing w:before="120" w:after="120" w:line="440" w:lineRule="exact"/>
        <w:ind w:firstLine="709"/>
        <w:jc w:val="center"/>
        <w:rPr>
          <w:rFonts w:ascii="Times New Roman" w:hAnsi="Times New Roman" w:cs="Times New Roman"/>
          <w:b/>
          <w:sz w:val="44"/>
          <w:szCs w:val="24"/>
        </w:rPr>
      </w:pPr>
      <w:r w:rsidRPr="00D31E78">
        <w:rPr>
          <w:rFonts w:ascii="Times New Roman" w:hAnsi="Times New Roman" w:cs="Times New Roman"/>
          <w:b/>
          <w:sz w:val="44"/>
          <w:szCs w:val="24"/>
        </w:rPr>
        <w:t>ΠΟΛΙΤΙΚΗ ΑΠΟΔΟΧΩΝ</w:t>
      </w:r>
    </w:p>
    <w:p w14:paraId="7A654462" w14:textId="77777777" w:rsidR="00F813CC" w:rsidRPr="00D31E78" w:rsidRDefault="00F813CC" w:rsidP="00F813CC">
      <w:pPr>
        <w:rPr>
          <w:rFonts w:ascii="Times New Roman" w:hAnsi="Times New Roman" w:cs="Times New Roman"/>
          <w:b/>
          <w:sz w:val="44"/>
          <w:szCs w:val="24"/>
        </w:rPr>
      </w:pPr>
      <w:r w:rsidRPr="00D31E78">
        <w:rPr>
          <w:rFonts w:ascii="Times New Roman" w:hAnsi="Times New Roman" w:cs="Times New Roman"/>
          <w:b/>
          <w:sz w:val="44"/>
          <w:szCs w:val="24"/>
        </w:rPr>
        <w:br w:type="page"/>
      </w:r>
    </w:p>
    <w:p w14:paraId="19FD5B6A" w14:textId="77777777" w:rsidR="00F813CC" w:rsidRPr="00D31E78" w:rsidRDefault="00F813CC" w:rsidP="00F813CC">
      <w:pPr>
        <w:spacing w:after="120" w:line="340" w:lineRule="exact"/>
        <w:ind w:firstLine="709"/>
        <w:jc w:val="center"/>
        <w:rPr>
          <w:rFonts w:ascii="Times New Roman" w:hAnsi="Times New Roman" w:cs="Times New Roman"/>
          <w:b/>
          <w:sz w:val="32"/>
          <w:szCs w:val="24"/>
          <w:u w:val="single"/>
        </w:rPr>
      </w:pPr>
      <w:r w:rsidRPr="00D31E78">
        <w:rPr>
          <w:rFonts w:ascii="Times New Roman" w:hAnsi="Times New Roman" w:cs="Times New Roman"/>
          <w:b/>
          <w:sz w:val="32"/>
          <w:szCs w:val="24"/>
          <w:u w:val="single"/>
        </w:rPr>
        <w:lastRenderedPageBreak/>
        <w:t>ΠΕΡΙΕΧΟΜΕΝΑ</w:t>
      </w:r>
    </w:p>
    <w:p w14:paraId="27A8B612" w14:textId="77777777" w:rsidR="00F813CC" w:rsidRPr="00D31E78" w:rsidRDefault="00F813CC" w:rsidP="00F813CC">
      <w:pPr>
        <w:spacing w:after="120" w:line="340" w:lineRule="exact"/>
        <w:ind w:firstLine="709"/>
        <w:jc w:val="center"/>
        <w:rPr>
          <w:rFonts w:ascii="Times New Roman" w:hAnsi="Times New Roman" w:cs="Times New Roman"/>
          <w:b/>
          <w:sz w:val="32"/>
          <w:szCs w:val="24"/>
          <w:u w:val="single"/>
        </w:rPr>
      </w:pPr>
    </w:p>
    <w:p w14:paraId="0E5D8BBC" w14:textId="77777777" w:rsidR="00F813CC" w:rsidRPr="00D31E78" w:rsidRDefault="00F813CC" w:rsidP="00F813CC">
      <w:pPr>
        <w:rPr>
          <w:rFonts w:ascii="Times New Roman" w:hAnsi="Times New Roman" w:cs="Times New Roman"/>
          <w:b/>
          <w:sz w:val="32"/>
          <w:szCs w:val="24"/>
          <w:u w:val="single"/>
        </w:rPr>
      </w:pPr>
      <w:r w:rsidRPr="00D31E78">
        <w:rPr>
          <w:rFonts w:ascii="Times New Roman" w:hAnsi="Times New Roman" w:cs="Times New Roman"/>
          <w:b/>
          <w:sz w:val="32"/>
          <w:szCs w:val="24"/>
          <w:u w:val="single"/>
        </w:rPr>
        <w:br w:type="page"/>
      </w:r>
    </w:p>
    <w:p w14:paraId="35C671CE" w14:textId="77777777" w:rsidR="00F813CC" w:rsidRPr="00D31E78" w:rsidRDefault="00F813CC" w:rsidP="00F813CC">
      <w:pPr>
        <w:pStyle w:val="ListParagraph"/>
        <w:numPr>
          <w:ilvl w:val="0"/>
          <w:numId w:val="1"/>
        </w:numPr>
        <w:spacing w:after="120" w:line="340" w:lineRule="exact"/>
        <w:ind w:left="-709" w:firstLine="1069"/>
        <w:rPr>
          <w:rFonts w:ascii="Times New Roman" w:hAnsi="Times New Roman" w:cs="Times New Roman"/>
          <w:b/>
          <w:u w:val="single"/>
        </w:rPr>
      </w:pPr>
      <w:r w:rsidRPr="00D31E78">
        <w:rPr>
          <w:rFonts w:ascii="Times New Roman" w:hAnsi="Times New Roman" w:cs="Times New Roman"/>
          <w:b/>
          <w:u w:val="single"/>
        </w:rPr>
        <w:lastRenderedPageBreak/>
        <w:t>Γενικά</w:t>
      </w:r>
    </w:p>
    <w:p w14:paraId="1908C2C1" w14:textId="77777777" w:rsidR="00F813CC" w:rsidRPr="00D31E78" w:rsidRDefault="00F813CC" w:rsidP="00F813CC">
      <w:pPr>
        <w:spacing w:after="120" w:line="340" w:lineRule="exact"/>
        <w:ind w:firstLine="720"/>
        <w:jc w:val="both"/>
        <w:rPr>
          <w:rFonts w:ascii="Times New Roman" w:hAnsi="Times New Roman" w:cs="Times New Roman"/>
        </w:rPr>
      </w:pPr>
      <w:r w:rsidRPr="00D31E78">
        <w:rPr>
          <w:rFonts w:ascii="Times New Roman" w:hAnsi="Times New Roman" w:cs="Times New Roman"/>
        </w:rPr>
        <w:t>Η παρούσα πολιτική αποδοχών («Πολιτική Αποδοχών») συντάχθηκε σε συμμόρφωση με τα άρθρα 109 επ. Ν. 4548/2018 (ΦΕΚ Α’ 104 / 13.06.2018), όπως τροποποιήθηκαν με τον Ν. 4587/2018 (ΦΕΚ Α’ 218/</w:t>
      </w:r>
      <w:bookmarkStart w:id="0" w:name="_GoBack"/>
      <w:bookmarkEnd w:id="0"/>
      <w:r w:rsidRPr="00D31E78">
        <w:rPr>
          <w:rFonts w:ascii="Times New Roman" w:hAnsi="Times New Roman" w:cs="Times New Roman"/>
        </w:rPr>
        <w:t xml:space="preserve"> 24.12.2018), τα οποία ενσωματώνουν στην ελληνική έννομη τάξη τις αντίστοιχες διατάξεις της Οδηγίας (ΕΕ) 2017/828 του Ευρωπαϊκού Κοινοβουλίου και του Συμβουλίου, της 17ης Μαΐου 2017, «για την τροποποίηση της οδηγίας 2007/36/ΕΚ όσον αφορά την ενθάρρυνση της μακροπρόθεσμης ενεργού συμμετοχής των μετόχων». </w:t>
      </w:r>
    </w:p>
    <w:p w14:paraId="00243491" w14:textId="75182105" w:rsidR="00F813CC" w:rsidRPr="00D31E78" w:rsidRDefault="00F813CC" w:rsidP="00F813CC">
      <w:pPr>
        <w:spacing w:after="120" w:line="340" w:lineRule="exact"/>
        <w:ind w:firstLine="720"/>
        <w:jc w:val="both"/>
        <w:rPr>
          <w:rFonts w:ascii="Times New Roman" w:hAnsi="Times New Roman" w:cs="Times New Roman"/>
        </w:rPr>
      </w:pPr>
      <w:r w:rsidRPr="00D31E78">
        <w:rPr>
          <w:rFonts w:ascii="Times New Roman" w:hAnsi="Times New Roman" w:cs="Times New Roman"/>
        </w:rPr>
        <w:t xml:space="preserve">Η Πολιτική Αποδοχών καθορίζει τις γενικές αρχές για τις αποδοχές των εκτελεστικών και μη εκτελεστικών μελών του Διοικητικού Συμβουλίου της Εταιρείας, και εγκρίθηκε με απόφαση της Γενικής Συνέλευσης των </w:t>
      </w:r>
      <w:r w:rsidRPr="005E2405">
        <w:rPr>
          <w:rFonts w:ascii="Times New Roman" w:hAnsi="Times New Roman" w:cs="Times New Roman"/>
        </w:rPr>
        <w:t>Μετόχων της ΧΧ/ΧΧ/2019. Η Πολιτική</w:t>
      </w:r>
      <w:r w:rsidRPr="00D31E78">
        <w:rPr>
          <w:rFonts w:ascii="Times New Roman" w:hAnsi="Times New Roman" w:cs="Times New Roman"/>
        </w:rPr>
        <w:t xml:space="preserve"> Αποδοχών </w:t>
      </w:r>
      <w:r w:rsidRPr="005877BC">
        <w:rPr>
          <w:rFonts w:ascii="Times New Roman" w:hAnsi="Times New Roman" w:cs="Times New Roman"/>
        </w:rPr>
        <w:t xml:space="preserve">ισχύει </w:t>
      </w:r>
      <w:r w:rsidR="00C7096E" w:rsidRPr="005E2405">
        <w:rPr>
          <w:rFonts w:ascii="Times New Roman" w:hAnsi="Times New Roman" w:cs="Times New Roman"/>
        </w:rPr>
        <w:t>(4</w:t>
      </w:r>
      <w:r w:rsidRPr="005E2405">
        <w:rPr>
          <w:rFonts w:ascii="Times New Roman" w:hAnsi="Times New Roman" w:cs="Times New Roman"/>
        </w:rPr>
        <w:t>)</w:t>
      </w:r>
      <w:r w:rsidRPr="005877BC">
        <w:rPr>
          <w:rFonts w:ascii="Times New Roman" w:hAnsi="Times New Roman" w:cs="Times New Roman"/>
        </w:rPr>
        <w:t xml:space="preserve"> χρόνια</w:t>
      </w:r>
      <w:r w:rsidRPr="00D31E78">
        <w:rPr>
          <w:rFonts w:ascii="Times New Roman" w:hAnsi="Times New Roman" w:cs="Times New Roman"/>
        </w:rPr>
        <w:t xml:space="preserve"> από την εν λόγω ημερομηνία εγκρίσεώς της, εκτός αν σημειωθεί ουσιώδης μεταβολή των συνθηκών με τις οποίες καταρτίσθηκε, οπότε και θα υποβληθεί εκ νέου προς έγκριση.</w:t>
      </w:r>
    </w:p>
    <w:p w14:paraId="080158F9" w14:textId="77777777" w:rsidR="00F813CC" w:rsidRPr="00D31E78" w:rsidRDefault="00F813CC" w:rsidP="00F813CC">
      <w:pPr>
        <w:spacing w:after="120" w:line="340" w:lineRule="exact"/>
        <w:jc w:val="both"/>
        <w:rPr>
          <w:rFonts w:ascii="Times New Roman" w:hAnsi="Times New Roman" w:cs="Times New Roman"/>
          <w:u w:val="single"/>
        </w:rPr>
      </w:pPr>
      <w:r w:rsidRPr="00D31E78">
        <w:rPr>
          <w:rFonts w:ascii="Times New Roman" w:hAnsi="Times New Roman" w:cs="Times New Roman"/>
          <w:u w:val="single"/>
        </w:rPr>
        <w:t>Η Πολιτική Αποδοχών:</w:t>
      </w:r>
    </w:p>
    <w:p w14:paraId="36BF0813" w14:textId="77777777" w:rsidR="00F813CC" w:rsidRPr="00D31E78" w:rsidRDefault="00F813CC" w:rsidP="00F813CC">
      <w:pPr>
        <w:pStyle w:val="ListParagraph"/>
        <w:numPr>
          <w:ilvl w:val="0"/>
          <w:numId w:val="2"/>
        </w:numPr>
        <w:spacing w:after="120" w:line="340" w:lineRule="exact"/>
        <w:ind w:left="426"/>
        <w:jc w:val="both"/>
        <w:rPr>
          <w:rFonts w:ascii="Times New Roman" w:hAnsi="Times New Roman" w:cs="Times New Roman"/>
          <w:u w:val="single"/>
        </w:rPr>
      </w:pPr>
      <w:r w:rsidRPr="00D31E78">
        <w:rPr>
          <w:rFonts w:ascii="Times New Roman" w:hAnsi="Times New Roman" w:cs="Times New Roman"/>
        </w:rPr>
        <w:t>Εναρμονίζει τις αποδοχές που προσφέρονται στα πρόσωπα που καλύπτονται από αυτήν με την επιχειρηματική στρατηγική, τα μακροπρόθεσμα συμφέροντα, τη βιωσιμότητα, το μέγεθος και την εσωτερική οργάνωση της Εταιρείας καθώς και με τη φύση, την κλίμακα και την πολυπλοκότητα των δραστηριοτήτων της.</w:t>
      </w:r>
    </w:p>
    <w:p w14:paraId="072DDD4B" w14:textId="6959BC99" w:rsidR="005877BC" w:rsidRDefault="00F813CC" w:rsidP="005877BC">
      <w:pPr>
        <w:pStyle w:val="ListParagraph"/>
        <w:numPr>
          <w:ilvl w:val="0"/>
          <w:numId w:val="2"/>
        </w:numPr>
        <w:spacing w:after="120" w:line="340" w:lineRule="exact"/>
        <w:ind w:left="426"/>
        <w:rPr>
          <w:rFonts w:ascii="Times New Roman" w:hAnsi="Times New Roman" w:cs="Times New Roman"/>
        </w:rPr>
      </w:pPr>
      <w:r w:rsidRPr="00D31E78">
        <w:rPr>
          <w:rFonts w:ascii="Times New Roman" w:hAnsi="Times New Roman" w:cs="Times New Roman"/>
        </w:rPr>
        <w:t xml:space="preserve">Καθορίζει, ως προς τα εκτελεστικά μέλη του Διοικητικού Συμβουλίου, διαφορετικές συνιστώσες για τη χορήγηση σταθερών και μεταβλητών αποδοχών, συσχετίζοντας τις αποδοχές των μελών αυτών με την κερδοφορία της Εταιρείας και ενθαρρύνοντας την αποτελεσματική ανάληψη επιχειρηματικών κινδύνων. </w:t>
      </w:r>
      <w:r w:rsidR="005877BC" w:rsidRPr="005877BC">
        <w:rPr>
          <w:rFonts w:ascii="Times New Roman" w:hAnsi="Times New Roman" w:cs="Times New Roman"/>
        </w:rPr>
        <w:t xml:space="preserve"> </w:t>
      </w:r>
      <w:r w:rsidR="005877BC">
        <w:rPr>
          <w:rFonts w:ascii="Times New Roman" w:hAnsi="Times New Roman" w:cs="Times New Roman"/>
        </w:rPr>
        <w:t>Οι αποδοχές αυτές υπόκεινται σε αυξομοίωση ανάλογα και με την επίτευξη μη χρηματοοικονομικών στόχων που σχετίζονται με τους άξονες της κοινωνικής εταιρικής ευθύνης γύρω από τους οποίους λειτουργεί η Εταιρεία:</w:t>
      </w:r>
    </w:p>
    <w:p w14:paraId="32A517EB" w14:textId="11D56B4D" w:rsidR="005877BC" w:rsidRPr="005877BC" w:rsidRDefault="005877BC" w:rsidP="005E2405">
      <w:pPr>
        <w:pStyle w:val="ListParagraph"/>
        <w:numPr>
          <w:ilvl w:val="1"/>
          <w:numId w:val="2"/>
        </w:numPr>
        <w:spacing w:after="120" w:line="340" w:lineRule="exact"/>
        <w:ind w:left="1560"/>
        <w:rPr>
          <w:rFonts w:ascii="Times New Roman" w:hAnsi="Times New Roman" w:cs="Times New Roman"/>
        </w:rPr>
      </w:pPr>
      <w:r>
        <w:rPr>
          <w:rFonts w:ascii="Times New Roman" w:hAnsi="Times New Roman" w:cs="Times New Roman"/>
        </w:rPr>
        <w:t>Υπεύθυνη λειτουργία</w:t>
      </w:r>
    </w:p>
    <w:p w14:paraId="058F4DCE" w14:textId="77777777" w:rsidR="005877BC" w:rsidRPr="005877BC" w:rsidRDefault="005877BC" w:rsidP="005E2405">
      <w:pPr>
        <w:pStyle w:val="ListParagraph"/>
        <w:numPr>
          <w:ilvl w:val="1"/>
          <w:numId w:val="2"/>
        </w:numPr>
        <w:spacing w:after="120" w:line="340" w:lineRule="exact"/>
        <w:ind w:left="1560"/>
        <w:rPr>
          <w:rFonts w:ascii="Times New Roman" w:hAnsi="Times New Roman" w:cs="Times New Roman"/>
        </w:rPr>
      </w:pPr>
      <w:r w:rsidRPr="005877BC">
        <w:rPr>
          <w:rFonts w:ascii="Times New Roman" w:hAnsi="Times New Roman" w:cs="Times New Roman"/>
        </w:rPr>
        <w:t>Εξασφάλιση της ευημερίας των εργαζομένων και των συνεργατών,</w:t>
      </w:r>
    </w:p>
    <w:p w14:paraId="65A89D38" w14:textId="77777777" w:rsidR="005877BC" w:rsidRPr="005877BC" w:rsidRDefault="005877BC" w:rsidP="005E2405">
      <w:pPr>
        <w:pStyle w:val="ListParagraph"/>
        <w:numPr>
          <w:ilvl w:val="1"/>
          <w:numId w:val="2"/>
        </w:numPr>
        <w:spacing w:after="120" w:line="340" w:lineRule="exact"/>
        <w:ind w:left="1560"/>
        <w:rPr>
          <w:rFonts w:ascii="Times New Roman" w:hAnsi="Times New Roman" w:cs="Times New Roman"/>
        </w:rPr>
      </w:pPr>
      <w:r w:rsidRPr="005877BC">
        <w:rPr>
          <w:rFonts w:ascii="Times New Roman" w:hAnsi="Times New Roman" w:cs="Times New Roman"/>
        </w:rPr>
        <w:t>Περιβαλλοντική υπευθυνότητα,</w:t>
      </w:r>
    </w:p>
    <w:p w14:paraId="59A58AEC" w14:textId="1C6DFBF0" w:rsidR="00F813CC" w:rsidRDefault="005877BC" w:rsidP="005E2405">
      <w:pPr>
        <w:pStyle w:val="ListParagraph"/>
        <w:numPr>
          <w:ilvl w:val="1"/>
          <w:numId w:val="2"/>
        </w:numPr>
        <w:spacing w:after="120" w:line="340" w:lineRule="exact"/>
        <w:ind w:left="1560"/>
        <w:rPr>
          <w:rFonts w:ascii="Times New Roman" w:hAnsi="Times New Roman" w:cs="Times New Roman"/>
        </w:rPr>
      </w:pPr>
      <w:r w:rsidRPr="005877BC">
        <w:rPr>
          <w:rFonts w:ascii="Times New Roman" w:hAnsi="Times New Roman" w:cs="Times New Roman"/>
        </w:rPr>
        <w:t>Συνεισφορά στην κοινωνία και τον εθελοντισμό.</w:t>
      </w:r>
    </w:p>
    <w:p w14:paraId="4266F802" w14:textId="77777777" w:rsidR="005877BC" w:rsidRPr="005E2405" w:rsidRDefault="005877BC" w:rsidP="005E2405">
      <w:pPr>
        <w:pStyle w:val="ListParagraph"/>
        <w:spacing w:after="120" w:line="340" w:lineRule="exact"/>
        <w:ind w:left="2220"/>
        <w:rPr>
          <w:rFonts w:ascii="Times New Roman" w:hAnsi="Times New Roman" w:cs="Times New Roman"/>
        </w:rPr>
      </w:pPr>
    </w:p>
    <w:p w14:paraId="3ECF5BF9" w14:textId="77777777" w:rsidR="00F813CC" w:rsidRPr="00D31E78" w:rsidRDefault="00F813CC" w:rsidP="00F813CC">
      <w:pPr>
        <w:pStyle w:val="ListParagraph"/>
        <w:numPr>
          <w:ilvl w:val="0"/>
          <w:numId w:val="2"/>
        </w:numPr>
        <w:spacing w:after="120" w:line="340" w:lineRule="exact"/>
        <w:ind w:left="426"/>
        <w:jc w:val="both"/>
        <w:rPr>
          <w:rFonts w:ascii="Times New Roman" w:hAnsi="Times New Roman" w:cs="Times New Roman"/>
          <w:u w:val="single"/>
        </w:rPr>
      </w:pPr>
      <w:r w:rsidRPr="00D31E78">
        <w:rPr>
          <w:rFonts w:ascii="Times New Roman" w:hAnsi="Times New Roman" w:cs="Times New Roman"/>
        </w:rPr>
        <w:t>Αποτρέπει την εμφάνιση καταστάσεων σύγκρουσης συμφερόντων, τόσο μέσω της διαδικασίας θέσπισής της όσο και μέσω του τρόπου διάρθρωσης των αποδοχών.</w:t>
      </w:r>
    </w:p>
    <w:p w14:paraId="340829F0" w14:textId="77777777" w:rsidR="00F813CC" w:rsidRPr="00D31E78" w:rsidRDefault="00F813CC" w:rsidP="00F813CC">
      <w:pPr>
        <w:pStyle w:val="ListParagraph"/>
        <w:numPr>
          <w:ilvl w:val="0"/>
          <w:numId w:val="2"/>
        </w:numPr>
        <w:spacing w:after="120" w:line="340" w:lineRule="exact"/>
        <w:ind w:left="426"/>
        <w:jc w:val="both"/>
        <w:rPr>
          <w:rFonts w:ascii="Times New Roman" w:hAnsi="Times New Roman" w:cs="Times New Roman"/>
          <w:u w:val="single"/>
        </w:rPr>
      </w:pPr>
      <w:r w:rsidRPr="00D31E78">
        <w:rPr>
          <w:rFonts w:ascii="Times New Roman" w:hAnsi="Times New Roman" w:cs="Times New Roman"/>
        </w:rPr>
        <w:t xml:space="preserve">Λαμβάνει υπόψη τις μισθολογικές και εργασιακές συνθήκες των εργαζομένων της Εταιρείας. Συγκεκριμένα, τυχόν αυξομειώσεις των αποδοχών των μελών του Διοικητικού Συμβουλίου λαμβάνουν υπόψη το ύψος των αντίστοιχων αυξομειώσεων των αποδοχών των υπολοίπων εργαζομένων της Εταιρείας. Παρέχονται, όπως και στα εκτελεστικά μέλη, μεταβλητές αποδοχές σε εργαζομένους, αναλόγως της θέσης ευθύνης τους, για επίτευξη στόχων βάσει προκαθορισμένων κριτηρίων, ενώ προβλέπονται, σε αντιστοιχία με την θέση που κατέχει ο κάθε εργαζόμενος, πρόσθετες παροχές και λοιπές διευκολύνσεις (π.χ. </w:t>
      </w:r>
      <w:r w:rsidRPr="00D31E78">
        <w:rPr>
          <w:rFonts w:ascii="Times New Roman" w:hAnsi="Times New Roman" w:cs="Times New Roman"/>
        </w:rPr>
        <w:lastRenderedPageBreak/>
        <w:t xml:space="preserve">έξοδα μετακίνησης, υγειονομικής περίθαλψης) τα οποία κατ’ αναλογία προβλέπονται και για τα μέλη του Διοικητικού Συμβουλίου. </w:t>
      </w:r>
    </w:p>
    <w:p w14:paraId="383DA4CB" w14:textId="77777777" w:rsidR="00F813CC" w:rsidRPr="00D31E78" w:rsidRDefault="00F813CC" w:rsidP="00F813CC">
      <w:pPr>
        <w:pStyle w:val="ListParagraph"/>
        <w:numPr>
          <w:ilvl w:val="0"/>
          <w:numId w:val="2"/>
        </w:numPr>
        <w:spacing w:after="120" w:line="340" w:lineRule="exact"/>
        <w:ind w:left="426"/>
        <w:jc w:val="both"/>
        <w:rPr>
          <w:rFonts w:ascii="Times New Roman" w:hAnsi="Times New Roman" w:cs="Times New Roman"/>
          <w:u w:val="single"/>
        </w:rPr>
      </w:pPr>
      <w:r w:rsidRPr="00D31E78">
        <w:rPr>
          <w:rFonts w:ascii="Times New Roman" w:hAnsi="Times New Roman" w:cs="Times New Roman"/>
        </w:rPr>
        <w:t>Λαμβάνει υπόψη τις θέσεις των μετόχων όπως αυτές διατυπώνονται στην Γενική Συνέλευση για τη διαμόρφωση του τελικού περιεχομένου της.</w:t>
      </w:r>
    </w:p>
    <w:p w14:paraId="2FE7D9F6" w14:textId="77777777" w:rsidR="00F813CC" w:rsidRPr="005877BC" w:rsidRDefault="00F813CC" w:rsidP="00F813CC">
      <w:pPr>
        <w:pStyle w:val="ListParagraph"/>
        <w:numPr>
          <w:ilvl w:val="0"/>
          <w:numId w:val="2"/>
        </w:numPr>
        <w:spacing w:after="120" w:line="340" w:lineRule="exact"/>
        <w:ind w:left="426"/>
        <w:jc w:val="both"/>
        <w:rPr>
          <w:rFonts w:ascii="Times New Roman" w:hAnsi="Times New Roman" w:cs="Times New Roman"/>
          <w:u w:val="single"/>
        </w:rPr>
      </w:pPr>
      <w:r w:rsidRPr="00D31E78">
        <w:rPr>
          <w:rFonts w:ascii="Times New Roman" w:hAnsi="Times New Roman" w:cs="Times New Roman"/>
        </w:rPr>
        <w:t xml:space="preserve">Συμμορφώνεται με το εφαρμοστέο κανονιστικό πλαίσιο του Ν. 4548/2018 και λαμβάνει υπόψη τις σχετικές ευρωπαϊκές συστάσεις, τον Κώδικα Εταιρικής Διακυβέρνησης της </w:t>
      </w:r>
      <w:r w:rsidRPr="005877BC">
        <w:rPr>
          <w:rFonts w:ascii="Times New Roman" w:hAnsi="Times New Roman" w:cs="Times New Roman"/>
        </w:rPr>
        <w:t>Εταιρείας καθώς και τη διεθνή πρακτική σε επιχειρήσεις αντίστοιχης εμβέλειας.</w:t>
      </w:r>
    </w:p>
    <w:p w14:paraId="6CA18084" w14:textId="7510BDA5" w:rsidR="00F813CC" w:rsidRPr="00D31E78" w:rsidRDefault="00F813CC" w:rsidP="00F813CC">
      <w:pPr>
        <w:spacing w:after="120" w:line="340" w:lineRule="exact"/>
        <w:ind w:firstLine="720"/>
        <w:rPr>
          <w:rFonts w:ascii="Times New Roman" w:hAnsi="Times New Roman" w:cs="Times New Roman"/>
        </w:rPr>
      </w:pPr>
      <w:r w:rsidRPr="005E2405">
        <w:rPr>
          <w:rFonts w:ascii="Times New Roman" w:hAnsi="Times New Roman" w:cs="Times New Roman"/>
        </w:rPr>
        <w:t>Η Πολιτική Αποδοχών καλύπτει αποκλειστικά τα μέλη του Διοικητικού Συμβουλίου της Εταιρείας και τον</w:t>
      </w:r>
      <w:r w:rsidR="002001C8" w:rsidRPr="005E2405">
        <w:rPr>
          <w:rFonts w:ascii="Times New Roman" w:hAnsi="Times New Roman" w:cs="Times New Roman"/>
        </w:rPr>
        <w:t xml:space="preserve"> Διευθύνοντα Σύμβουλο και</w:t>
      </w:r>
      <w:r w:rsidRPr="005E2405">
        <w:rPr>
          <w:rFonts w:ascii="Times New Roman" w:hAnsi="Times New Roman" w:cs="Times New Roman"/>
        </w:rPr>
        <w:t xml:space="preserve"> τυχόν Γενικό Διευθυντή</w:t>
      </w:r>
      <w:r w:rsidR="002001C8" w:rsidRPr="005E2405">
        <w:rPr>
          <w:rFonts w:ascii="Times New Roman" w:hAnsi="Times New Roman" w:cs="Times New Roman"/>
        </w:rPr>
        <w:t xml:space="preserve"> της.</w:t>
      </w:r>
      <w:r w:rsidRPr="005E2405">
        <w:rPr>
          <w:rFonts w:ascii="Times New Roman" w:hAnsi="Times New Roman" w:cs="Times New Roman"/>
        </w:rPr>
        <w:t xml:space="preserve"> </w:t>
      </w:r>
      <w:r w:rsidRPr="00D31E78">
        <w:rPr>
          <w:rFonts w:ascii="Times New Roman" w:hAnsi="Times New Roman" w:cs="Times New Roman"/>
          <w:sz w:val="24"/>
          <w:szCs w:val="24"/>
        </w:rPr>
        <w:br w:type="page"/>
      </w:r>
    </w:p>
    <w:p w14:paraId="0ACC331B" w14:textId="77777777" w:rsidR="00F813CC" w:rsidRPr="00D31E78" w:rsidRDefault="00F813CC" w:rsidP="00F813CC">
      <w:pPr>
        <w:pStyle w:val="ListParagraph"/>
        <w:numPr>
          <w:ilvl w:val="0"/>
          <w:numId w:val="1"/>
        </w:numPr>
        <w:spacing w:after="120" w:line="340" w:lineRule="exact"/>
        <w:ind w:left="567"/>
        <w:rPr>
          <w:rFonts w:ascii="Times New Roman" w:hAnsi="Times New Roman" w:cs="Times New Roman"/>
          <w:b/>
          <w:u w:val="single"/>
        </w:rPr>
      </w:pPr>
      <w:r w:rsidRPr="00D31E78">
        <w:rPr>
          <w:rFonts w:ascii="Times New Roman" w:hAnsi="Times New Roman" w:cs="Times New Roman"/>
          <w:b/>
          <w:u w:val="single"/>
        </w:rPr>
        <w:lastRenderedPageBreak/>
        <w:t>Διαδικασία θέσπισης Πολιτικής Αποδοχών. Δημοσίευση</w:t>
      </w:r>
    </w:p>
    <w:p w14:paraId="56D13CB1" w14:textId="77777777" w:rsidR="00F813CC" w:rsidRPr="00D31E78" w:rsidRDefault="00F813CC" w:rsidP="00F813CC">
      <w:pPr>
        <w:spacing w:after="120" w:line="340" w:lineRule="exact"/>
        <w:ind w:firstLine="720"/>
        <w:jc w:val="both"/>
        <w:rPr>
          <w:rFonts w:ascii="Times New Roman" w:hAnsi="Times New Roman" w:cs="Times New Roman"/>
        </w:rPr>
      </w:pPr>
      <w:r w:rsidRPr="00D31E78">
        <w:rPr>
          <w:rFonts w:ascii="Times New Roman" w:hAnsi="Times New Roman" w:cs="Times New Roman"/>
        </w:rPr>
        <w:t>Η Πολιτική Αποδοχών καταρτίζεται από το Διοικητικό Συμβούλιο της Εταιρείας, το οποίο δύναται να λαμβάνει συνδρομή από εξωτερικούς συμβούλους καταρτισμένους σε θέματα αποδοχών. Η Πολιτική Αποδοχών εγκρίνεται κατ’ αρχήν από το Διοικητικό Συμβούλιο και υποβάλλεται προς τελική έγκριση στη Γενική Συνέλευση, η ψήφος της οποίας είναι δεσμευτική. Η εφαρμογή της Πολιτικής Αποδοχών και η διάρθρωση των σταθερών και μεταβλητών αποδοχών υπόκειται σε τακτική αξιολόγηση από το Διοικητικό Συμβούλιο βάσει των αρχών του νόμου,</w:t>
      </w:r>
      <w:r w:rsidRPr="00D31E78">
        <w:rPr>
          <w:rFonts w:ascii="Times New Roman" w:hAnsi="Times New Roman" w:cs="Times New Roman"/>
          <w:shd w:val="clear" w:color="auto" w:fill="FFFFFF"/>
          <w:lang w:eastAsia="el-GR"/>
        </w:rPr>
        <w:t xml:space="preserve"> του Κώδικα Εταιρικής Διακυβέρνησης της Εταιρείας και λαμβάνοντας υπόψη τις βέλτιστες διεθνείς πρακτικές και τις Συστάσεις της Ευρωπαϊκής Επιτροπής</w:t>
      </w:r>
      <w:r w:rsidRPr="00D31E78">
        <w:rPr>
          <w:rFonts w:ascii="Times New Roman" w:hAnsi="Times New Roman" w:cs="Times New Roman"/>
        </w:rPr>
        <w:t xml:space="preserve">. </w:t>
      </w:r>
    </w:p>
    <w:p w14:paraId="341240BF" w14:textId="42B5498C" w:rsidR="00F813CC" w:rsidRPr="00D31E78" w:rsidRDefault="00F813CC" w:rsidP="00F813CC">
      <w:pPr>
        <w:spacing w:after="120" w:line="340" w:lineRule="exact"/>
        <w:ind w:firstLine="720"/>
        <w:jc w:val="both"/>
        <w:rPr>
          <w:rFonts w:ascii="Times New Roman" w:hAnsi="Times New Roman" w:cs="Times New Roman"/>
        </w:rPr>
      </w:pPr>
      <w:r w:rsidRPr="00D31E78">
        <w:rPr>
          <w:rFonts w:ascii="Times New Roman" w:hAnsi="Times New Roman" w:cs="Times New Roman"/>
        </w:rPr>
        <w:t>Η εν λόγω διαδικασία κατάρτισης διασφαλίζει την αποφυγή δημιουργίας καταστάσεως συγκρούσεως συμφερόντων, διότι το Διοικητικό Συμβούλιο αποτελείται κατά πλειοψηφία από μη εκτελεστικά μέλη</w:t>
      </w:r>
      <w:r w:rsidRPr="005877BC">
        <w:rPr>
          <w:rFonts w:ascii="Times New Roman" w:hAnsi="Times New Roman" w:cs="Times New Roman"/>
        </w:rPr>
        <w:t xml:space="preserve">, </w:t>
      </w:r>
      <w:r w:rsidR="00453446" w:rsidRPr="005E2405">
        <w:rPr>
          <w:rFonts w:ascii="Times New Roman" w:hAnsi="Times New Roman" w:cs="Times New Roman"/>
        </w:rPr>
        <w:t>2</w:t>
      </w:r>
      <w:r w:rsidRPr="005E2405">
        <w:rPr>
          <w:rFonts w:ascii="Times New Roman" w:hAnsi="Times New Roman" w:cs="Times New Roman"/>
        </w:rPr>
        <w:t xml:space="preserve"> εκ των οποίων είναι ανεξάρτητα</w:t>
      </w:r>
      <w:r w:rsidRPr="00D31E78">
        <w:rPr>
          <w:rFonts w:ascii="Times New Roman" w:hAnsi="Times New Roman" w:cs="Times New Roman"/>
        </w:rPr>
        <w:t xml:space="preserve"> κατά την έννοια του νόμου, ως εκάστοτε ισχύει. Τα μη εκτελεστικά μέλη, εξάλλου, δεν λαμβάνουν αμοιβή για την συμμετοχή τους στο Διοικητικό Συμβούλιο, γεγονός που αποτελεί εχέγγυο </w:t>
      </w:r>
      <w:r w:rsidR="00E64980" w:rsidRPr="00D31E78">
        <w:rPr>
          <w:rFonts w:ascii="Times New Roman" w:hAnsi="Times New Roman" w:cs="Times New Roman"/>
        </w:rPr>
        <w:t>αμεροληψίας κ</w:t>
      </w:r>
      <w:r w:rsidRPr="00D31E78">
        <w:rPr>
          <w:rFonts w:ascii="Times New Roman" w:hAnsi="Times New Roman" w:cs="Times New Roman"/>
        </w:rPr>
        <w:t>αι αντικειμενικότητα</w:t>
      </w:r>
      <w:r w:rsidR="00E64980" w:rsidRPr="00D31E78">
        <w:rPr>
          <w:rFonts w:ascii="Times New Roman" w:hAnsi="Times New Roman" w:cs="Times New Roman"/>
        </w:rPr>
        <w:t>ς</w:t>
      </w:r>
      <w:r w:rsidRPr="00D31E78">
        <w:rPr>
          <w:rFonts w:ascii="Times New Roman" w:hAnsi="Times New Roman" w:cs="Times New Roman"/>
        </w:rPr>
        <w:t xml:space="preserve"> κατά την κατάρτιση της Πολιτικής Αποδοχών.</w:t>
      </w:r>
    </w:p>
    <w:p w14:paraId="3B4AAF30" w14:textId="77777777" w:rsidR="00F813CC" w:rsidRPr="00D31E78" w:rsidRDefault="00F813CC" w:rsidP="00F813CC">
      <w:pPr>
        <w:spacing w:after="120" w:line="340" w:lineRule="exact"/>
        <w:ind w:firstLine="720"/>
        <w:jc w:val="both"/>
        <w:rPr>
          <w:rFonts w:ascii="Times New Roman" w:hAnsi="Times New Roman" w:cs="Times New Roman"/>
        </w:rPr>
      </w:pPr>
      <w:r w:rsidRPr="00D31E78">
        <w:rPr>
          <w:rFonts w:ascii="Times New Roman" w:hAnsi="Times New Roman" w:cs="Times New Roman"/>
        </w:rPr>
        <w:t>Σε περίπτωση που υφίσταται πολιτική αποδοχών και η Γενική Συνέλευση δεν εγκρίνει την προτεινόμενη νέα πολιτική αποδοχών, η Εταιρεία μπορεί να συνεχίσει να καταβάλλει τις αμοιβές των μελών του Διοικητικού Συμβουλίου μόνο σύμφωνα με την προηγούμενη, εγκεκριμένη πολιτική αποδοχών και να υποβάλει αναθεωρημένη πολιτική αποδοχών προς έγκριση από την επόμενη Γενική Συνέλευση.</w:t>
      </w:r>
    </w:p>
    <w:p w14:paraId="3B2F8913" w14:textId="77777777" w:rsidR="00F813CC" w:rsidRPr="00D31E78" w:rsidRDefault="00F813CC" w:rsidP="00F813CC">
      <w:pPr>
        <w:spacing w:after="120" w:line="340" w:lineRule="exact"/>
        <w:ind w:firstLine="720"/>
        <w:jc w:val="both"/>
        <w:rPr>
          <w:rFonts w:ascii="Times New Roman" w:hAnsi="Times New Roman" w:cs="Times New Roman"/>
        </w:rPr>
      </w:pPr>
      <w:r w:rsidRPr="00D31E78">
        <w:rPr>
          <w:rFonts w:ascii="Times New Roman" w:hAnsi="Times New Roman" w:cs="Times New Roman"/>
        </w:rPr>
        <w:t xml:space="preserve">Η εγκεκριμένη πολιτική αποδοχών μαζί με την ημερομηνία και τα αποτελέσματα της ψηφοφορίας υποβάλλεται σε διατυπώσεις δημοσιότητας και παραμένει διαθέσιμη στον διαδικτυακό τόπο της Εταιρείας χωρίς χρέωση, τουλάχιστον για όσο χρονικό διάστημα αυτή ισχύει. </w:t>
      </w:r>
    </w:p>
    <w:p w14:paraId="29AA6011" w14:textId="77777777" w:rsidR="00F813CC" w:rsidRPr="00D31E78" w:rsidRDefault="00F813CC" w:rsidP="00F813CC">
      <w:pPr>
        <w:rPr>
          <w:rFonts w:ascii="Times New Roman" w:hAnsi="Times New Roman" w:cs="Times New Roman"/>
          <w:sz w:val="24"/>
          <w:szCs w:val="24"/>
        </w:rPr>
      </w:pPr>
      <w:r w:rsidRPr="00D31E78">
        <w:rPr>
          <w:rFonts w:ascii="Times New Roman" w:hAnsi="Times New Roman" w:cs="Times New Roman"/>
          <w:sz w:val="24"/>
          <w:szCs w:val="24"/>
        </w:rPr>
        <w:br w:type="page"/>
      </w:r>
    </w:p>
    <w:p w14:paraId="08342E91" w14:textId="77777777" w:rsidR="00F813CC" w:rsidRPr="00D31E78" w:rsidRDefault="00F813CC" w:rsidP="00F813CC">
      <w:pPr>
        <w:pStyle w:val="ListParagraph"/>
        <w:numPr>
          <w:ilvl w:val="0"/>
          <w:numId w:val="1"/>
        </w:numPr>
        <w:spacing w:after="120" w:line="340" w:lineRule="exact"/>
        <w:ind w:left="426"/>
        <w:rPr>
          <w:rFonts w:ascii="Times New Roman" w:hAnsi="Times New Roman" w:cs="Times New Roman"/>
          <w:b/>
          <w:szCs w:val="24"/>
          <w:u w:val="single"/>
        </w:rPr>
      </w:pPr>
      <w:r w:rsidRPr="00D31E78">
        <w:rPr>
          <w:rFonts w:ascii="Times New Roman" w:hAnsi="Times New Roman" w:cs="Times New Roman"/>
          <w:b/>
          <w:szCs w:val="24"/>
          <w:u w:val="single"/>
        </w:rPr>
        <w:lastRenderedPageBreak/>
        <w:t>Δομή των αποδοχών των μελών του Διοικητικού Συμβουλίου</w:t>
      </w:r>
    </w:p>
    <w:p w14:paraId="54EB219A" w14:textId="77777777" w:rsidR="00F813CC" w:rsidRPr="00D31E78" w:rsidRDefault="00F813CC" w:rsidP="00F813CC">
      <w:pPr>
        <w:pStyle w:val="ListParagraph"/>
        <w:spacing w:after="120" w:line="340" w:lineRule="exact"/>
        <w:ind w:left="1429"/>
        <w:rPr>
          <w:rFonts w:ascii="Times New Roman" w:hAnsi="Times New Roman" w:cs="Times New Roman"/>
          <w:b/>
          <w:szCs w:val="24"/>
          <w:u w:val="single"/>
        </w:rPr>
      </w:pPr>
    </w:p>
    <w:p w14:paraId="5B75023C" w14:textId="4A1E1583" w:rsidR="00F813CC" w:rsidRPr="00D323AA" w:rsidRDefault="00D323AA" w:rsidP="00D323AA">
      <w:pPr>
        <w:spacing w:after="120" w:line="340" w:lineRule="exact"/>
        <w:ind w:left="426"/>
        <w:rPr>
          <w:rFonts w:ascii="Times New Roman" w:hAnsi="Times New Roman" w:cs="Times New Roman"/>
          <w:b/>
          <w:szCs w:val="24"/>
        </w:rPr>
      </w:pPr>
      <w:r w:rsidRPr="00D323AA">
        <w:rPr>
          <w:rFonts w:ascii="Times New Roman" w:hAnsi="Times New Roman" w:cs="Times New Roman"/>
          <w:sz w:val="24"/>
          <w:szCs w:val="24"/>
          <w:lang w:val="en-US"/>
        </w:rPr>
        <w:t>1.</w:t>
      </w:r>
      <w:r w:rsidR="00F813CC" w:rsidRPr="00D323AA">
        <w:rPr>
          <w:rFonts w:ascii="Times New Roman" w:hAnsi="Times New Roman" w:cs="Times New Roman"/>
          <w:sz w:val="24"/>
          <w:szCs w:val="24"/>
        </w:rPr>
        <w:t>Αποδοχές εκτελεστικών μελών</w:t>
      </w:r>
    </w:p>
    <w:tbl>
      <w:tblPr>
        <w:tblStyle w:val="GridTable4-Accent6"/>
        <w:tblpPr w:leftFromText="180" w:rightFromText="180" w:horzAnchor="margin" w:tblpXSpec="center" w:tblpY="204"/>
        <w:tblW w:w="10491" w:type="dxa"/>
        <w:tblLook w:val="04A0" w:firstRow="1" w:lastRow="0" w:firstColumn="1" w:lastColumn="0" w:noHBand="0" w:noVBand="1"/>
      </w:tblPr>
      <w:tblGrid>
        <w:gridCol w:w="1419"/>
        <w:gridCol w:w="9072"/>
      </w:tblGrid>
      <w:tr w:rsidR="00F813CC" w:rsidRPr="00D31E78" w14:paraId="6EDBE8FD" w14:textId="77777777" w:rsidTr="005E240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9" w:type="dxa"/>
          </w:tcPr>
          <w:p w14:paraId="32E3AA37" w14:textId="77777777" w:rsidR="00F813CC" w:rsidRPr="00D31E78" w:rsidRDefault="00F813CC" w:rsidP="005E2405">
            <w:pPr>
              <w:spacing w:after="120"/>
              <w:jc w:val="center"/>
              <w:rPr>
                <w:rFonts w:ascii="Times New Roman" w:hAnsi="Times New Roman" w:cs="Times New Roman"/>
                <w:b w:val="0"/>
                <w:sz w:val="20"/>
                <w:szCs w:val="24"/>
              </w:rPr>
            </w:pPr>
          </w:p>
        </w:tc>
        <w:tc>
          <w:tcPr>
            <w:tcW w:w="9072" w:type="dxa"/>
          </w:tcPr>
          <w:p w14:paraId="6305C177" w14:textId="77777777" w:rsidR="00F813CC" w:rsidRPr="00D31E78" w:rsidRDefault="00F813CC" w:rsidP="005E2405">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4"/>
              </w:rPr>
            </w:pPr>
          </w:p>
        </w:tc>
      </w:tr>
      <w:tr w:rsidR="00F813CC" w:rsidRPr="00D31E78" w14:paraId="07AABACE" w14:textId="77777777" w:rsidTr="005E2405">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91" w:type="dxa"/>
            <w:gridSpan w:val="2"/>
          </w:tcPr>
          <w:p w14:paraId="05862E4C" w14:textId="77777777" w:rsidR="00F813CC" w:rsidRPr="00D31E78" w:rsidRDefault="00F813CC" w:rsidP="005E2405">
            <w:pPr>
              <w:spacing w:after="120"/>
              <w:jc w:val="center"/>
              <w:rPr>
                <w:rFonts w:ascii="Times New Roman" w:hAnsi="Times New Roman" w:cs="Times New Roman"/>
                <w:b w:val="0"/>
                <w:sz w:val="20"/>
                <w:szCs w:val="24"/>
              </w:rPr>
            </w:pPr>
            <w:r w:rsidRPr="00D31E78">
              <w:rPr>
                <w:rFonts w:ascii="Times New Roman" w:hAnsi="Times New Roman" w:cs="Times New Roman"/>
                <w:sz w:val="20"/>
                <w:szCs w:val="24"/>
              </w:rPr>
              <w:t>Σταθερές Αποδοχές</w:t>
            </w:r>
          </w:p>
        </w:tc>
      </w:tr>
      <w:tr w:rsidR="00F813CC" w:rsidRPr="00D31E78" w14:paraId="5E943533" w14:textId="77777777" w:rsidTr="005E2405">
        <w:tc>
          <w:tcPr>
            <w:cnfStyle w:val="001000000000" w:firstRow="0" w:lastRow="0" w:firstColumn="1" w:lastColumn="0" w:oddVBand="0" w:evenVBand="0" w:oddHBand="0" w:evenHBand="0" w:firstRowFirstColumn="0" w:firstRowLastColumn="0" w:lastRowFirstColumn="0" w:lastRowLastColumn="0"/>
            <w:tcW w:w="1419" w:type="dxa"/>
          </w:tcPr>
          <w:p w14:paraId="3BCD3638" w14:textId="77777777" w:rsidR="00F813CC" w:rsidRPr="00D31E78" w:rsidRDefault="00F813CC" w:rsidP="005E2405">
            <w:pPr>
              <w:spacing w:after="120"/>
              <w:rPr>
                <w:rFonts w:ascii="Times New Roman" w:hAnsi="Times New Roman" w:cs="Times New Roman"/>
                <w:b w:val="0"/>
                <w:sz w:val="20"/>
                <w:szCs w:val="24"/>
              </w:rPr>
            </w:pPr>
            <w:r w:rsidRPr="00D31E78">
              <w:rPr>
                <w:rFonts w:ascii="Times New Roman" w:hAnsi="Times New Roman" w:cs="Times New Roman"/>
                <w:sz w:val="20"/>
                <w:szCs w:val="24"/>
              </w:rPr>
              <w:t>Βασικός Μισθός</w:t>
            </w:r>
          </w:p>
        </w:tc>
        <w:tc>
          <w:tcPr>
            <w:tcW w:w="9072" w:type="dxa"/>
          </w:tcPr>
          <w:p w14:paraId="4AA5E3D3" w14:textId="77777777" w:rsidR="00F813CC" w:rsidRPr="00D31E78" w:rsidRDefault="00F813CC" w:rsidP="005E2405">
            <w:pPr>
              <w:pStyle w:val="ListParagraph"/>
              <w:numPr>
                <w:ilvl w:val="0"/>
                <w:numId w:val="3"/>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31E78">
              <w:rPr>
                <w:rFonts w:ascii="Times New Roman" w:hAnsi="Times New Roman" w:cs="Times New Roman"/>
                <w:sz w:val="20"/>
                <w:szCs w:val="24"/>
              </w:rPr>
              <w:t>Παρέχεται βασικός μισθός που αντανακλά το ρόλο και την ευθύνη που πηγάζουν από την θέση τους αυτή στην Εταιρεία, σε συνάρτηση με τα λοιπά εκτελεστικά τους καθήκοντα.</w:t>
            </w:r>
          </w:p>
          <w:p w14:paraId="5921FB8E" w14:textId="77777777" w:rsidR="00F813CC" w:rsidRPr="00D31E78" w:rsidRDefault="00F813CC" w:rsidP="005E2405">
            <w:pPr>
              <w:pStyle w:val="ListParagraph"/>
              <w:numPr>
                <w:ilvl w:val="0"/>
                <w:numId w:val="3"/>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31E78">
              <w:rPr>
                <w:rFonts w:ascii="Times New Roman" w:hAnsi="Times New Roman" w:cs="Times New Roman"/>
                <w:sz w:val="20"/>
                <w:szCs w:val="24"/>
              </w:rPr>
              <w:t>Ο βασικός μισθός κρίνεται ανταγωνιστικός για τον κλάδο και αντανακλά την εμβέλεια των δραστηριοτήτων της Εταιρείας ώστε να καθίσταται δυνατή η προσέλκυση και διατήρηση στην θέση του εκτελεστικού μέλους ατόμων με δεξιότητες υψηλού επιπέδου και αποδεδειγμένης, μακρόχρονης εμπειρίας σε θέσεις ευθύνης εταιρειών παρομοίου μεγέθους.</w:t>
            </w:r>
          </w:p>
          <w:p w14:paraId="07BC51A1" w14:textId="77777777" w:rsidR="00F813CC" w:rsidRPr="00D31E78" w:rsidRDefault="00F813CC" w:rsidP="005E2405">
            <w:pPr>
              <w:pStyle w:val="ListParagraph"/>
              <w:numPr>
                <w:ilvl w:val="0"/>
                <w:numId w:val="3"/>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31E78">
              <w:rPr>
                <w:rFonts w:ascii="Times New Roman" w:hAnsi="Times New Roman" w:cs="Times New Roman"/>
                <w:sz w:val="20"/>
                <w:szCs w:val="24"/>
              </w:rPr>
              <w:t xml:space="preserve">Ο βασικός μισθός δύναται να αυξομειώνεται σε ετήσια βάση λαμβάνοντας υπόψη την απόδοση του εκτελεστικού μέλους, την εμπειρία του και τα ατομικά του προσόντα, ώστε να προκύπτει αποτελεσματική σύνδεση του βασικού μισθού με τα μακροπρόθεσμα συμφέροντα της Εταιρείας. Οι τυχόν αυξομειώσεις λαμβάνουν υπόψη και τις μισθολογικές συνθήκες του υπολοίπου προσωπικού της Εταιρείας. </w:t>
            </w:r>
            <w:r w:rsidRPr="00D94F86">
              <w:rPr>
                <w:rFonts w:ascii="Times New Roman" w:hAnsi="Times New Roman" w:cs="Times New Roman"/>
                <w:sz w:val="20"/>
                <w:szCs w:val="24"/>
              </w:rPr>
              <w:t>Ο συσχετισμός του βασικού μισθού με τις εν λόγω συνθήκες γίνεται από το Διοικητικό Συμβούλιο και αιτιολογείται συγκεκριμένα.</w:t>
            </w:r>
            <w:r w:rsidRPr="00D31E78">
              <w:rPr>
                <w:rFonts w:ascii="Times New Roman" w:hAnsi="Times New Roman" w:cs="Times New Roman"/>
                <w:sz w:val="20"/>
                <w:szCs w:val="24"/>
              </w:rPr>
              <w:t xml:space="preserve"> </w:t>
            </w:r>
          </w:p>
        </w:tc>
      </w:tr>
      <w:tr w:rsidR="00F813CC" w:rsidRPr="00D31E78" w14:paraId="0DFE1995" w14:textId="77777777" w:rsidTr="005E2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2F3CA46B" w14:textId="77777777" w:rsidR="00F813CC" w:rsidRPr="00D31E78" w:rsidRDefault="00F813CC" w:rsidP="005E2405">
            <w:pPr>
              <w:spacing w:after="120"/>
              <w:rPr>
                <w:rFonts w:ascii="Times New Roman" w:hAnsi="Times New Roman" w:cs="Times New Roman"/>
                <w:b w:val="0"/>
                <w:sz w:val="20"/>
                <w:szCs w:val="24"/>
              </w:rPr>
            </w:pPr>
            <w:r w:rsidRPr="00D31E78">
              <w:rPr>
                <w:rFonts w:ascii="Times New Roman" w:hAnsi="Times New Roman" w:cs="Times New Roman"/>
                <w:sz w:val="20"/>
                <w:szCs w:val="24"/>
              </w:rPr>
              <w:t>Λοιπές παροχές</w:t>
            </w:r>
          </w:p>
        </w:tc>
        <w:tc>
          <w:tcPr>
            <w:tcW w:w="9072" w:type="dxa"/>
          </w:tcPr>
          <w:p w14:paraId="447C755D" w14:textId="77777777" w:rsidR="00F813CC" w:rsidRPr="00D31E78" w:rsidRDefault="00F813CC" w:rsidP="005E2405">
            <w:pPr>
              <w:pStyle w:val="ListParagraph"/>
              <w:numPr>
                <w:ilvl w:val="0"/>
                <w:numId w:val="4"/>
              </w:numPr>
              <w:spacing w:after="120"/>
              <w:ind w:left="42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D31E78">
              <w:rPr>
                <w:rFonts w:ascii="Times New Roman" w:hAnsi="Times New Roman" w:cs="Times New Roman"/>
                <w:sz w:val="20"/>
                <w:szCs w:val="24"/>
              </w:rPr>
              <w:t>Τα Εκτελεστικά Μέλη δύνανται να λαμβάνουν κατά περίπτωση επιπρόσθετη σταθερή αμοιβή για την συμμετοχή τους σε άλλες Επιτροπές ή όργανα της Εταιρείας, καθώς και για την ανάληψη ειδικών εργασιών εκτός του πεδίου των καθηκόντων τους βάσει της εργασιακής τους σχέσης με την Εταιρεία.</w:t>
            </w:r>
          </w:p>
          <w:p w14:paraId="75AF381D" w14:textId="77777777" w:rsidR="00F813CC" w:rsidRPr="00D31E78" w:rsidRDefault="00F813CC" w:rsidP="005E2405">
            <w:pPr>
              <w:pStyle w:val="ListParagraph"/>
              <w:numPr>
                <w:ilvl w:val="0"/>
                <w:numId w:val="4"/>
              </w:numPr>
              <w:spacing w:after="120"/>
              <w:ind w:left="42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D31E78">
              <w:rPr>
                <w:rFonts w:ascii="Times New Roman" w:hAnsi="Times New Roman" w:cs="Times New Roman"/>
                <w:sz w:val="20"/>
                <w:szCs w:val="24"/>
              </w:rPr>
              <w:t xml:space="preserve">Τα Εκτελεστικά Μέλη λαμβάνουν χωριστή αμοιβή για τα εκτελεστικά καθήκοντα με τα οποία έχουν επιφορτισθεί, αναλόγως της θέσης ευθύνης που κατέχουν στην Εταιρεία. </w:t>
            </w:r>
          </w:p>
          <w:p w14:paraId="5E08ADBD" w14:textId="77777777" w:rsidR="00F813CC" w:rsidRPr="00D31E78" w:rsidRDefault="00F813CC" w:rsidP="005E2405">
            <w:pPr>
              <w:pStyle w:val="ListParagraph"/>
              <w:numPr>
                <w:ilvl w:val="0"/>
                <w:numId w:val="4"/>
              </w:numPr>
              <w:spacing w:after="120"/>
              <w:ind w:left="42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D31E78">
              <w:rPr>
                <w:rFonts w:ascii="Times New Roman" w:hAnsi="Times New Roman" w:cs="Times New Roman"/>
                <w:sz w:val="20"/>
                <w:szCs w:val="24"/>
              </w:rPr>
              <w:t>Τα Εκτελεστικά μέλη δικαιούνται λοιπών διευκολύνσεων και παροχών που είναι αναγκαίες για την εκτέλεση των καθηκόντων τους, όπως έξοδα μετακίνησης και διαμονής, πακέτο υγειονομικής κάλυψης ή παροχή δωρεάν λογιστικών υπηρεσιών.  Ανάλογες διευκολύνσεις παρέχονται και στους λοιπούς εργαζομένους της Εταιρείας.</w:t>
            </w:r>
          </w:p>
        </w:tc>
      </w:tr>
      <w:tr w:rsidR="00F813CC" w:rsidRPr="00D31E78" w14:paraId="688D3912" w14:textId="77777777" w:rsidTr="005E2405">
        <w:tc>
          <w:tcPr>
            <w:cnfStyle w:val="001000000000" w:firstRow="0" w:lastRow="0" w:firstColumn="1" w:lastColumn="0" w:oddVBand="0" w:evenVBand="0" w:oddHBand="0" w:evenHBand="0" w:firstRowFirstColumn="0" w:firstRowLastColumn="0" w:lastRowFirstColumn="0" w:lastRowLastColumn="0"/>
            <w:tcW w:w="10491" w:type="dxa"/>
            <w:gridSpan w:val="2"/>
          </w:tcPr>
          <w:p w14:paraId="68282E83" w14:textId="77777777" w:rsidR="00F813CC" w:rsidRPr="00D31E78" w:rsidRDefault="00F813CC" w:rsidP="005E2405">
            <w:pPr>
              <w:pStyle w:val="ListParagraph"/>
              <w:spacing w:after="120"/>
              <w:ind w:left="427"/>
              <w:jc w:val="center"/>
              <w:rPr>
                <w:rFonts w:ascii="Times New Roman" w:hAnsi="Times New Roman" w:cs="Times New Roman"/>
                <w:b w:val="0"/>
                <w:sz w:val="20"/>
                <w:szCs w:val="24"/>
              </w:rPr>
            </w:pPr>
            <w:r w:rsidRPr="00D31E78">
              <w:rPr>
                <w:rFonts w:ascii="Times New Roman" w:hAnsi="Times New Roman" w:cs="Times New Roman"/>
                <w:sz w:val="20"/>
                <w:szCs w:val="24"/>
              </w:rPr>
              <w:t>Μεταβλητές Αποδοχές</w:t>
            </w:r>
          </w:p>
        </w:tc>
      </w:tr>
      <w:tr w:rsidR="00F813CC" w:rsidRPr="00D31E78" w14:paraId="3D051396" w14:textId="77777777" w:rsidTr="005E2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0CD34D72" w14:textId="77777777" w:rsidR="00F813CC" w:rsidRPr="00D31E78" w:rsidRDefault="00F813CC" w:rsidP="005E2405">
            <w:pPr>
              <w:spacing w:after="120"/>
              <w:ind w:right="174"/>
              <w:rPr>
                <w:rFonts w:ascii="Times New Roman" w:hAnsi="Times New Roman" w:cs="Times New Roman"/>
                <w:b w:val="0"/>
                <w:sz w:val="20"/>
                <w:szCs w:val="24"/>
              </w:rPr>
            </w:pPr>
            <w:r w:rsidRPr="00D31E78">
              <w:rPr>
                <w:rFonts w:ascii="Times New Roman" w:hAnsi="Times New Roman" w:cs="Times New Roman"/>
                <w:sz w:val="20"/>
                <w:szCs w:val="24"/>
              </w:rPr>
              <w:t>Συμμετοχή στα κέρδη της Εταιρείας</w:t>
            </w:r>
          </w:p>
        </w:tc>
        <w:tc>
          <w:tcPr>
            <w:tcW w:w="9072" w:type="dxa"/>
          </w:tcPr>
          <w:p w14:paraId="214EC317" w14:textId="6574F2DF" w:rsidR="00F813CC" w:rsidRPr="005E2405" w:rsidRDefault="00F813CC" w:rsidP="005E2405">
            <w:pPr>
              <w:pStyle w:val="ListParagraph"/>
              <w:numPr>
                <w:ilvl w:val="0"/>
                <w:numId w:val="4"/>
              </w:numPr>
              <w:spacing w:after="120"/>
              <w:ind w:left="45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16324">
              <w:rPr>
                <w:rFonts w:ascii="Times New Roman" w:hAnsi="Times New Roman" w:cs="Times New Roman"/>
                <w:sz w:val="20"/>
                <w:szCs w:val="24"/>
              </w:rPr>
              <w:t>Τα Εκτελεστικά Μέλη δικαιούνται επιπρόσθετης αμοιβής (</w:t>
            </w:r>
            <w:r w:rsidRPr="00516324">
              <w:rPr>
                <w:rFonts w:ascii="Times New Roman" w:hAnsi="Times New Roman" w:cs="Times New Roman"/>
                <w:sz w:val="20"/>
                <w:szCs w:val="24"/>
                <w:lang w:val="en-US"/>
              </w:rPr>
              <w:t>bonus</w:t>
            </w:r>
            <w:r w:rsidRPr="00516324">
              <w:rPr>
                <w:rFonts w:ascii="Times New Roman" w:hAnsi="Times New Roman" w:cs="Times New Roman"/>
                <w:sz w:val="20"/>
                <w:szCs w:val="24"/>
              </w:rPr>
              <w:t xml:space="preserve">) η οποία ισούται με / μπορεί να </w:t>
            </w:r>
            <w:r w:rsidRPr="005E2405">
              <w:rPr>
                <w:rFonts w:ascii="Times New Roman" w:hAnsi="Times New Roman" w:cs="Times New Roman"/>
                <w:sz w:val="20"/>
                <w:szCs w:val="24"/>
              </w:rPr>
              <w:t xml:space="preserve">ανέλθει έως </w:t>
            </w:r>
            <w:r w:rsidR="00D94F86" w:rsidRPr="005E2405">
              <w:rPr>
                <w:rFonts w:ascii="Times New Roman" w:hAnsi="Times New Roman" w:cs="Times New Roman"/>
                <w:sz w:val="20"/>
                <w:szCs w:val="24"/>
              </w:rPr>
              <w:t>2%</w:t>
            </w:r>
            <w:r w:rsidRPr="005E2405">
              <w:rPr>
                <w:rFonts w:ascii="Times New Roman" w:hAnsi="Times New Roman" w:cs="Times New Roman"/>
                <w:sz w:val="20"/>
                <w:szCs w:val="24"/>
              </w:rPr>
              <w:t xml:space="preserve"> σε σχέση με τα καθαρά κέρδη της Εταιρείας, όπως αυτά εμφανίζονται στις δημοσιευμένες χρηματοοικονομικές της καταστάσεις, και καταβάλλεται</w:t>
            </w:r>
            <w:r w:rsidR="00D94F86" w:rsidRPr="005E2405">
              <w:rPr>
                <w:rFonts w:ascii="Times New Roman" w:hAnsi="Times New Roman" w:cs="Times New Roman"/>
                <w:sz w:val="20"/>
                <w:szCs w:val="24"/>
              </w:rPr>
              <w:t xml:space="preserve"> μετά</w:t>
            </w:r>
            <w:r w:rsidR="005877BC" w:rsidRPr="005E2405">
              <w:rPr>
                <w:rFonts w:ascii="Times New Roman" w:hAnsi="Times New Roman" w:cs="Times New Roman"/>
                <w:sz w:val="20"/>
                <w:szCs w:val="24"/>
              </w:rPr>
              <w:t xml:space="preserve"> </w:t>
            </w:r>
            <w:r w:rsidR="00D94F86" w:rsidRPr="005E2405">
              <w:rPr>
                <w:rFonts w:ascii="Times New Roman" w:hAnsi="Times New Roman" w:cs="Times New Roman"/>
                <w:sz w:val="20"/>
                <w:szCs w:val="24"/>
              </w:rPr>
              <w:t>την έγκριση των ετήσιων χρηματοοικονομικών καταστάσεων από την Τακτική Γρνική Συνέλευση.</w:t>
            </w:r>
            <w:r w:rsidRPr="005E2405">
              <w:rPr>
                <w:rFonts w:ascii="Times New Roman" w:hAnsi="Times New Roman" w:cs="Times New Roman"/>
                <w:sz w:val="20"/>
                <w:szCs w:val="24"/>
              </w:rPr>
              <w:t xml:space="preserve">. Η καταβολή της επιπρόσθετης αμοιβής αξιολογείται και εγκρίνεται από </w:t>
            </w:r>
            <w:r w:rsidR="00063DED" w:rsidRPr="005E2405">
              <w:rPr>
                <w:rFonts w:ascii="Times New Roman" w:hAnsi="Times New Roman" w:cs="Times New Roman"/>
                <w:sz w:val="20"/>
                <w:szCs w:val="24"/>
              </w:rPr>
              <w:t xml:space="preserve">το Διοικητικό Συμβούλιο </w:t>
            </w:r>
            <w:r w:rsidRPr="005E2405">
              <w:rPr>
                <w:rFonts w:ascii="Times New Roman" w:hAnsi="Times New Roman" w:cs="Times New Roman"/>
                <w:sz w:val="20"/>
                <w:szCs w:val="24"/>
              </w:rPr>
              <w:t>εφόσον δεν προέκυψε</w:t>
            </w:r>
            <w:r w:rsidR="005877BC" w:rsidRPr="005E2405">
              <w:rPr>
                <w:rFonts w:ascii="Times New Roman" w:hAnsi="Times New Roman" w:cs="Times New Roman"/>
                <w:sz w:val="20"/>
                <w:szCs w:val="24"/>
              </w:rPr>
              <w:t xml:space="preserve"> στο μεταξύ</w:t>
            </w:r>
            <w:r w:rsidRPr="005E2405">
              <w:rPr>
                <w:rFonts w:ascii="Times New Roman" w:hAnsi="Times New Roman" w:cs="Times New Roman"/>
                <w:sz w:val="20"/>
                <w:szCs w:val="24"/>
              </w:rPr>
              <w:t xml:space="preserve"> σημαντική </w:t>
            </w:r>
            <w:r w:rsidRPr="00516324">
              <w:rPr>
                <w:rFonts w:ascii="Times New Roman" w:hAnsi="Times New Roman" w:cs="Times New Roman"/>
                <w:sz w:val="20"/>
                <w:szCs w:val="24"/>
              </w:rPr>
              <w:t>μεταβολή επί τα χείρω των οικονομικών συνθηκών, ώστε να διασφαλίζεται ότι η απεικόνιση της κερδοφορίας ήταν ακριβής</w:t>
            </w:r>
            <w:r w:rsidRPr="005E2405">
              <w:rPr>
                <w:rFonts w:ascii="Times New Roman" w:hAnsi="Times New Roman" w:cs="Times New Roman"/>
                <w:sz w:val="20"/>
                <w:szCs w:val="24"/>
              </w:rPr>
              <w:t xml:space="preserve">.  </w:t>
            </w:r>
          </w:p>
          <w:p w14:paraId="659F176E" w14:textId="03D02A0A" w:rsidR="00F813CC" w:rsidRPr="00516324" w:rsidRDefault="00F813CC" w:rsidP="005E2405">
            <w:pPr>
              <w:pStyle w:val="ListParagraph"/>
              <w:numPr>
                <w:ilvl w:val="0"/>
                <w:numId w:val="4"/>
              </w:numPr>
              <w:spacing w:after="120"/>
              <w:ind w:left="45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16324">
              <w:rPr>
                <w:rFonts w:ascii="Times New Roman" w:hAnsi="Times New Roman" w:cs="Times New Roman"/>
                <w:sz w:val="20"/>
                <w:szCs w:val="24"/>
              </w:rPr>
              <w:t>Η επιπρόσθετη αμοιβή αποσκοπεί στο να λειτουργήσει ως κίνητρο για την μέγιστη δυνατή απόδοση των Εκτελεστικών Μελών κατά την εκτέλεση των καθηκόντων τους, ενθαρρύνοντας την εύλογη ανάληψη επιχειρηματικών ρίσκων, συνδέοντας τις αποδοχές τους με την πρόοδο, την υπέρβαση των εταιρικών στόχων, την μακροπρόθεσμη προοπτική και την κερδοφορία της Εταιρείας.</w:t>
            </w:r>
          </w:p>
          <w:p w14:paraId="63E98165" w14:textId="18DE065D" w:rsidR="005877BC" w:rsidRPr="00516324" w:rsidRDefault="005877BC" w:rsidP="005E2405">
            <w:pPr>
              <w:pStyle w:val="ListParagraph"/>
              <w:numPr>
                <w:ilvl w:val="0"/>
                <w:numId w:val="4"/>
              </w:numPr>
              <w:spacing w:after="120"/>
              <w:ind w:left="45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16324">
              <w:rPr>
                <w:rFonts w:ascii="Times New Roman" w:hAnsi="Times New Roman" w:cs="Times New Roman"/>
                <w:sz w:val="20"/>
                <w:szCs w:val="24"/>
              </w:rPr>
              <w:t xml:space="preserve">Για τον καθορισμό της επιπρόσθετης αμοιβής αξιολογείται και η επίτευξη μη χρηματοοικονομικών στόχων που σχετίζονται με τους άξονες της κοινωνικής εταιρικής ευθύνης γύρω από τους οποίους λειτουργεί η Εταιρεία (υπεύθυνη λειτουργία, εξασφάλιση της ευημερίας των εργαζομένων και των συνεργατών, περιβαλλοντική υπευθυνότητα, συνεισφορά στην κοινωνία και στον εθελοντισμό). </w:t>
            </w:r>
          </w:p>
          <w:p w14:paraId="2352BB24" w14:textId="77777777" w:rsidR="00F813CC" w:rsidRPr="00516324" w:rsidRDefault="00F813CC" w:rsidP="005E2405">
            <w:pPr>
              <w:pStyle w:val="ListParagraph"/>
              <w:numPr>
                <w:ilvl w:val="0"/>
                <w:numId w:val="4"/>
              </w:numPr>
              <w:spacing w:after="120"/>
              <w:ind w:left="45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16324">
              <w:rPr>
                <w:rFonts w:ascii="Times New Roman" w:hAnsi="Times New Roman" w:cs="Times New Roman"/>
                <w:sz w:val="20"/>
                <w:szCs w:val="24"/>
              </w:rPr>
              <w:t xml:space="preserve">Η εν λόγω επιπρόσθετη αμοιβή </w:t>
            </w:r>
            <w:r w:rsidRPr="005E2405">
              <w:rPr>
                <w:rFonts w:ascii="Times New Roman" w:hAnsi="Times New Roman" w:cs="Times New Roman"/>
                <w:sz w:val="20"/>
                <w:szCs w:val="24"/>
              </w:rPr>
              <w:t>συσχετίζεται με τις εργασιακές και μισθολογικές συνθήκες των εργαζομένων της Εταιρείας, καθώς προβλέπονται και για αυτούς επιβραβεύσεις για την απόδοσή τους βάσει προκαθορισμένων κριτηρίων, αναλόγως της θέσης ευθύνης που κατέχουν</w:t>
            </w:r>
            <w:r w:rsidRPr="00516324">
              <w:rPr>
                <w:rFonts w:ascii="Times New Roman" w:hAnsi="Times New Roman" w:cs="Times New Roman"/>
                <w:sz w:val="20"/>
                <w:szCs w:val="24"/>
              </w:rPr>
              <w:t>.</w:t>
            </w:r>
          </w:p>
          <w:p w14:paraId="37E2284C" w14:textId="60A1E396" w:rsidR="00F813CC" w:rsidRPr="00516324" w:rsidRDefault="00F813CC" w:rsidP="005E2405">
            <w:pPr>
              <w:pStyle w:val="ListParagraph"/>
              <w:numPr>
                <w:ilvl w:val="0"/>
                <w:numId w:val="4"/>
              </w:numPr>
              <w:spacing w:after="120"/>
              <w:ind w:left="45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D31E78">
              <w:rPr>
                <w:rFonts w:ascii="Times New Roman" w:hAnsi="Times New Roman" w:cs="Times New Roman"/>
                <w:sz w:val="20"/>
                <w:szCs w:val="24"/>
              </w:rPr>
              <w:t xml:space="preserve">Η καταβολή της επιπρόσθετης αμοιβής δύναται να αναβάλλεται με απόφαση του Διοικητικού Συμβουλίου, ιδίως εφόσον προκύψουν εξαιρετικές περιστάσεις </w:t>
            </w:r>
            <w:r w:rsidRPr="00516324">
              <w:rPr>
                <w:rFonts w:ascii="Times New Roman" w:hAnsi="Times New Roman" w:cs="Times New Roman"/>
                <w:sz w:val="20"/>
                <w:szCs w:val="24"/>
              </w:rPr>
              <w:t xml:space="preserve">που δικαιολογούν την αναβολή αυτή (π.χ. η κερδοφορία της Εταιρείας επηρεαστεί από απρόβλεπτο γεγονός </w:t>
            </w:r>
            <w:r w:rsidR="00634103" w:rsidRPr="005E2405">
              <w:rPr>
                <w:rFonts w:ascii="Times New Roman" w:hAnsi="Times New Roman" w:cs="Times New Roman"/>
                <w:sz w:val="20"/>
                <w:szCs w:val="24"/>
              </w:rPr>
              <w:t>κλπ</w:t>
            </w:r>
            <w:r w:rsidRPr="005E2405">
              <w:rPr>
                <w:rFonts w:ascii="Times New Roman" w:hAnsi="Times New Roman" w:cs="Times New Roman"/>
                <w:sz w:val="20"/>
                <w:szCs w:val="24"/>
              </w:rPr>
              <w:t>).</w:t>
            </w:r>
          </w:p>
          <w:p w14:paraId="7A30CBBD" w14:textId="5E54E40C" w:rsidR="00F813CC" w:rsidRPr="00D31E78" w:rsidRDefault="00F813CC" w:rsidP="005E2405">
            <w:pPr>
              <w:pStyle w:val="ListParagraph"/>
              <w:numPr>
                <w:ilvl w:val="0"/>
                <w:numId w:val="4"/>
              </w:numPr>
              <w:spacing w:after="120"/>
              <w:ind w:left="45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16324">
              <w:rPr>
                <w:rFonts w:ascii="Times New Roman" w:hAnsi="Times New Roman" w:cs="Times New Roman"/>
                <w:sz w:val="20"/>
                <w:szCs w:val="24"/>
              </w:rPr>
              <w:t xml:space="preserve">Η καταβολή της επιπρόσθετης αμοιβής μπορεί να ανακληθεί με απόφαση του Διοικητικού Συμβουλίου της Εταιρείας εφόσον το μέλος που την έλαβε καταδικασθεί </w:t>
            </w:r>
            <w:r w:rsidR="00063DED" w:rsidRPr="005E2405">
              <w:rPr>
                <w:rFonts w:ascii="Times New Roman" w:hAnsi="Times New Roman" w:cs="Times New Roman"/>
                <w:sz w:val="20"/>
                <w:szCs w:val="24"/>
              </w:rPr>
              <w:t>απ</w:t>
            </w:r>
            <w:r w:rsidR="00063DED" w:rsidRPr="00516324">
              <w:rPr>
                <w:rFonts w:ascii="Times New Roman" w:hAnsi="Times New Roman" w:cs="Times New Roman"/>
                <w:sz w:val="20"/>
                <w:szCs w:val="24"/>
              </w:rPr>
              <w:t>ό ποινικό δικαστήριο</w:t>
            </w:r>
            <w:r w:rsidRPr="00516324">
              <w:rPr>
                <w:rFonts w:ascii="Times New Roman" w:hAnsi="Times New Roman" w:cs="Times New Roman"/>
                <w:sz w:val="20"/>
                <w:szCs w:val="24"/>
              </w:rPr>
              <w:t xml:space="preserve"> ή </w:t>
            </w:r>
            <w:r w:rsidRPr="005E2405">
              <w:rPr>
                <w:rFonts w:ascii="Times New Roman" w:hAnsi="Times New Roman" w:cs="Times New Roman"/>
                <w:sz w:val="20"/>
                <w:szCs w:val="24"/>
              </w:rPr>
              <w:t>αποδειχθεί παραβίαση από το Μέλος του</w:t>
            </w:r>
            <w:r w:rsidR="00C7096E" w:rsidRPr="005E2405">
              <w:rPr>
                <w:rFonts w:ascii="Times New Roman" w:hAnsi="Times New Roman" w:cs="Times New Roman"/>
                <w:sz w:val="20"/>
                <w:szCs w:val="24"/>
              </w:rPr>
              <w:t xml:space="preserve"> Εσωτερικού Κανονισμού Λειτουργίας ή του Κώδικα Εταιρικής Διακυβέρνησης</w:t>
            </w:r>
            <w:r w:rsidRPr="005E2405">
              <w:rPr>
                <w:rFonts w:ascii="Times New Roman" w:hAnsi="Times New Roman" w:cs="Times New Roman"/>
                <w:sz w:val="20"/>
                <w:szCs w:val="24"/>
              </w:rPr>
              <w:t xml:space="preserve"> </w:t>
            </w:r>
            <w:r w:rsidR="00C7096E">
              <w:rPr>
                <w:rFonts w:ascii="Times New Roman" w:hAnsi="Times New Roman" w:cs="Times New Roman"/>
                <w:sz w:val="20"/>
                <w:szCs w:val="24"/>
              </w:rPr>
              <w:t xml:space="preserve"> της Εταιρείας </w:t>
            </w:r>
            <w:r w:rsidRPr="00D31E78">
              <w:rPr>
                <w:rFonts w:ascii="Times New Roman" w:hAnsi="Times New Roman" w:cs="Times New Roman"/>
                <w:sz w:val="20"/>
                <w:szCs w:val="24"/>
              </w:rPr>
              <w:t xml:space="preserve">ή τα στοιχεία κερδοφορίας της Εταιρείας βάσει των δημοσιευμένων χρηματοοικονομικών της καταστάσεων αποδειχθούν ανακριβή. </w:t>
            </w:r>
          </w:p>
        </w:tc>
      </w:tr>
    </w:tbl>
    <w:p w14:paraId="06CD3A23" w14:textId="77777777" w:rsidR="00F813CC" w:rsidRPr="00D31E78" w:rsidRDefault="00F813CC" w:rsidP="00F813CC">
      <w:pPr>
        <w:rPr>
          <w:rFonts w:ascii="Times New Roman" w:hAnsi="Times New Roman" w:cs="Times New Roman"/>
          <w:sz w:val="24"/>
          <w:szCs w:val="24"/>
        </w:rPr>
      </w:pPr>
    </w:p>
    <w:p w14:paraId="0A3BFFA0" w14:textId="4BBF1495" w:rsidR="00F813CC" w:rsidRPr="00D31E78" w:rsidRDefault="00F813CC" w:rsidP="00D57491">
      <w:pPr>
        <w:spacing w:after="120" w:line="340" w:lineRule="exact"/>
        <w:ind w:left="426"/>
        <w:jc w:val="both"/>
        <w:rPr>
          <w:rFonts w:ascii="Times New Roman" w:hAnsi="Times New Roman" w:cs="Times New Roman"/>
          <w:szCs w:val="24"/>
          <w:u w:val="single"/>
        </w:rPr>
      </w:pPr>
      <w:r w:rsidRPr="00D31E78">
        <w:rPr>
          <w:rFonts w:ascii="Times New Roman" w:hAnsi="Times New Roman" w:cs="Times New Roman"/>
          <w:szCs w:val="24"/>
          <w:u w:val="single"/>
        </w:rPr>
        <w:lastRenderedPageBreak/>
        <w:t>2 Αποδοχές μη εκτελεστικών μελών</w:t>
      </w:r>
    </w:p>
    <w:p w14:paraId="3ACA455D" w14:textId="77777777" w:rsidR="00F813CC" w:rsidRPr="00D31E78" w:rsidRDefault="00F813CC" w:rsidP="00F813CC">
      <w:pPr>
        <w:spacing w:after="120" w:line="340" w:lineRule="exact"/>
        <w:jc w:val="both"/>
        <w:rPr>
          <w:rFonts w:ascii="Times New Roman" w:hAnsi="Times New Roman" w:cs="Times New Roman"/>
          <w:szCs w:val="24"/>
          <w:u w:val="single"/>
        </w:rPr>
      </w:pPr>
    </w:p>
    <w:tbl>
      <w:tblPr>
        <w:tblStyle w:val="TableGridLight"/>
        <w:tblW w:w="10491" w:type="dxa"/>
        <w:tblInd w:w="-1103" w:type="dxa"/>
        <w:tblLook w:val="04A0" w:firstRow="1" w:lastRow="0" w:firstColumn="1" w:lastColumn="0" w:noHBand="0" w:noVBand="1"/>
      </w:tblPr>
      <w:tblGrid>
        <w:gridCol w:w="1624"/>
        <w:gridCol w:w="8867"/>
      </w:tblGrid>
      <w:tr w:rsidR="00F813CC" w:rsidRPr="00D31E78" w14:paraId="43502045" w14:textId="77777777" w:rsidTr="005E2405">
        <w:tc>
          <w:tcPr>
            <w:tcW w:w="1624" w:type="dxa"/>
          </w:tcPr>
          <w:p w14:paraId="7CD3C903" w14:textId="77777777" w:rsidR="00F813CC" w:rsidRPr="00D31E78" w:rsidRDefault="00F813CC" w:rsidP="00373BC6">
            <w:pPr>
              <w:spacing w:after="120"/>
              <w:rPr>
                <w:rFonts w:ascii="Times New Roman" w:hAnsi="Times New Roman" w:cs="Times New Roman"/>
                <w:b/>
                <w:sz w:val="20"/>
                <w:szCs w:val="24"/>
              </w:rPr>
            </w:pPr>
            <w:r w:rsidRPr="00D31E78">
              <w:rPr>
                <w:rFonts w:ascii="Times New Roman" w:hAnsi="Times New Roman" w:cs="Times New Roman"/>
                <w:b/>
                <w:sz w:val="20"/>
                <w:szCs w:val="24"/>
              </w:rPr>
              <w:t>Μη καταβολή αποδοχών (σταθερών / μεταβλητών)</w:t>
            </w:r>
          </w:p>
        </w:tc>
        <w:tc>
          <w:tcPr>
            <w:tcW w:w="8867" w:type="dxa"/>
          </w:tcPr>
          <w:p w14:paraId="63D37C30" w14:textId="77777777" w:rsidR="00F813CC" w:rsidRPr="00D31E78" w:rsidRDefault="00F813CC" w:rsidP="00F813CC">
            <w:pPr>
              <w:pStyle w:val="ListParagraph"/>
              <w:numPr>
                <w:ilvl w:val="0"/>
                <w:numId w:val="3"/>
              </w:numPr>
              <w:jc w:val="both"/>
              <w:rPr>
                <w:rFonts w:ascii="Times New Roman" w:hAnsi="Times New Roman" w:cs="Times New Roman"/>
                <w:sz w:val="20"/>
                <w:szCs w:val="24"/>
              </w:rPr>
            </w:pPr>
            <w:r w:rsidRPr="00D31E78">
              <w:rPr>
                <w:rFonts w:ascii="Times New Roman" w:hAnsi="Times New Roman" w:cs="Times New Roman"/>
                <w:sz w:val="20"/>
                <w:szCs w:val="24"/>
              </w:rPr>
              <w:t xml:space="preserve">Τα μη εκτελεστικά μέλη του Διοικητικού Συμβουλίου της Εταιρείας είναι επιφανή πρόσωπα, καταξιωμένα στον τομέα δραστηριοποίησής τους, με μακρά, επιτυχή και αναγνωρισμένη επαγγελματική σταδιοδρομία. Τα μέλη αυτά καλούνται να συνεισφέρουν με τρόπο αντικειμενικό την εμπειρία τους για την πρόοδο των εργασιών της Εταιρείας, χωρίς να δημιουργείται ουδεμία σχέση υπαλληλικής ή οικονομικής εξάρτησης, η οποία θα μπορούσε να επηρεάσει τον εποπτικό ρόλο που καλούνται να διαδραματίσουν. Επομένως, τα μη εκτελεστικά μέλη συμμετέχουν τιμητικά στο Διοικητικό Συμβούλιο και δεν λαμβάνουν αποδοχές, σταθερές ή μεταβλητές για τη συμμετοχή τους αυτή. Έτσι, διασφαλίζεται στο μέγιστο βαθμό η αποφυγή σύγκρουσης συμφερόντων κατά την λήψη των αποφάσεων, γεγονός το οποίο ευνοεί την επιχειρηματική στρατηγική και τα μακροπρόθεσμα συμφέροντα της Εταιρείας. </w:t>
            </w:r>
          </w:p>
        </w:tc>
      </w:tr>
      <w:tr w:rsidR="00F813CC" w:rsidRPr="00D31E78" w14:paraId="1DDCB4D1" w14:textId="77777777" w:rsidTr="005E2405">
        <w:tc>
          <w:tcPr>
            <w:tcW w:w="1624" w:type="dxa"/>
          </w:tcPr>
          <w:p w14:paraId="73F2C0F1" w14:textId="77777777" w:rsidR="00F813CC" w:rsidRPr="00D31E78" w:rsidRDefault="00F813CC" w:rsidP="00373BC6">
            <w:pPr>
              <w:spacing w:after="120"/>
              <w:rPr>
                <w:rFonts w:ascii="Times New Roman" w:hAnsi="Times New Roman" w:cs="Times New Roman"/>
                <w:b/>
                <w:sz w:val="20"/>
                <w:szCs w:val="24"/>
              </w:rPr>
            </w:pPr>
            <w:r w:rsidRPr="00D31E78">
              <w:rPr>
                <w:rFonts w:ascii="Times New Roman" w:hAnsi="Times New Roman" w:cs="Times New Roman"/>
                <w:b/>
                <w:sz w:val="20"/>
                <w:szCs w:val="24"/>
              </w:rPr>
              <w:t>Λοιπές παροχές</w:t>
            </w:r>
          </w:p>
        </w:tc>
        <w:tc>
          <w:tcPr>
            <w:tcW w:w="8867" w:type="dxa"/>
          </w:tcPr>
          <w:p w14:paraId="42E0E180" w14:textId="77777777" w:rsidR="00F813CC" w:rsidRPr="00D31E78" w:rsidRDefault="00F813CC" w:rsidP="00F813CC">
            <w:pPr>
              <w:pStyle w:val="ListParagraph"/>
              <w:numPr>
                <w:ilvl w:val="0"/>
                <w:numId w:val="4"/>
              </w:numPr>
              <w:spacing w:after="120"/>
              <w:ind w:left="399"/>
              <w:jc w:val="both"/>
              <w:rPr>
                <w:rFonts w:ascii="Times New Roman" w:hAnsi="Times New Roman" w:cs="Times New Roman"/>
                <w:sz w:val="20"/>
                <w:szCs w:val="24"/>
              </w:rPr>
            </w:pPr>
            <w:r w:rsidRPr="00D31E78">
              <w:rPr>
                <w:rFonts w:ascii="Times New Roman" w:hAnsi="Times New Roman" w:cs="Times New Roman"/>
                <w:sz w:val="20"/>
                <w:szCs w:val="24"/>
              </w:rPr>
              <w:t>Σε περίπτωση που τα μη εκτελεστικά μέλη συμμετέχουν σε Επιτροπές της Εταιρείας ή αναλαμβάνουν καθήκοντα εκτός του πεδίου των αρμοδιοτήτων τους ως απλών μελών του Διοικητικού Συμβουλίου, τότε θα δύνανται να λαμβάνουν πρόσθετη αμοιβή ανάλογα με το εύρος και την σημασία των επιπρόσθετων αυτών καθηκόντων.</w:t>
            </w:r>
          </w:p>
          <w:p w14:paraId="4837C065" w14:textId="77777777" w:rsidR="00F813CC" w:rsidRPr="00D31E78" w:rsidRDefault="00F813CC" w:rsidP="00F813CC">
            <w:pPr>
              <w:pStyle w:val="ListParagraph"/>
              <w:numPr>
                <w:ilvl w:val="0"/>
                <w:numId w:val="4"/>
              </w:numPr>
              <w:spacing w:after="120"/>
              <w:ind w:left="399"/>
              <w:jc w:val="both"/>
              <w:rPr>
                <w:rFonts w:ascii="Times New Roman" w:hAnsi="Times New Roman" w:cs="Times New Roman"/>
                <w:sz w:val="20"/>
                <w:szCs w:val="24"/>
              </w:rPr>
            </w:pPr>
            <w:r w:rsidRPr="00D31E78">
              <w:rPr>
                <w:rFonts w:ascii="Times New Roman" w:hAnsi="Times New Roman" w:cs="Times New Roman"/>
                <w:sz w:val="20"/>
                <w:szCs w:val="24"/>
              </w:rPr>
              <w:t>Η Εταιρεία, σε κάθε περίπτωση, αναλαμβάνει, όπως και για τα εκτελεστικά μέλη, την καταβολή διευκολύνσεων και παροχών που είναι αναγκαίες για την ενάσκηση των καθηκόντων των μη εκτελεστικών μελών, όπως, για παράδειγμα, έξοδα μετακίνησης και διαμονής.</w:t>
            </w:r>
          </w:p>
        </w:tc>
      </w:tr>
    </w:tbl>
    <w:p w14:paraId="37116C66" w14:textId="77777777" w:rsidR="00F813CC" w:rsidRPr="00D31E78" w:rsidRDefault="00F813CC" w:rsidP="00F813CC">
      <w:pPr>
        <w:spacing w:after="120" w:line="340" w:lineRule="exact"/>
        <w:rPr>
          <w:rFonts w:ascii="Times New Roman" w:hAnsi="Times New Roman" w:cs="Times New Roman"/>
          <w:szCs w:val="24"/>
        </w:rPr>
      </w:pPr>
    </w:p>
    <w:p w14:paraId="327860EB" w14:textId="77777777" w:rsidR="00F813CC" w:rsidRPr="00D31E78" w:rsidRDefault="00F813CC" w:rsidP="00F813CC">
      <w:pPr>
        <w:spacing w:after="120" w:line="340" w:lineRule="exact"/>
        <w:rPr>
          <w:rFonts w:ascii="Times New Roman" w:hAnsi="Times New Roman" w:cs="Times New Roman"/>
          <w:szCs w:val="24"/>
          <w:u w:val="single"/>
        </w:rPr>
      </w:pPr>
      <w:r w:rsidRPr="00D31E78">
        <w:rPr>
          <w:rFonts w:ascii="Times New Roman" w:hAnsi="Times New Roman" w:cs="Times New Roman"/>
          <w:szCs w:val="24"/>
          <w:u w:val="single"/>
        </w:rPr>
        <w:t>3.3 Βασικά χαρακτηριστικά συμβάσεων των Διοικητικού Συμβουλίου</w:t>
      </w:r>
    </w:p>
    <w:p w14:paraId="4F2AE55F" w14:textId="6BCE9678" w:rsidR="00F813CC" w:rsidRPr="00D31E78" w:rsidRDefault="00516324" w:rsidP="00F813CC">
      <w:pPr>
        <w:spacing w:after="120" w:line="340" w:lineRule="exact"/>
        <w:jc w:val="both"/>
        <w:rPr>
          <w:rFonts w:ascii="Times New Roman" w:hAnsi="Times New Roman" w:cs="Times New Roman"/>
          <w:szCs w:val="24"/>
        </w:rPr>
      </w:pPr>
      <w:r>
        <w:rPr>
          <w:rFonts w:ascii="Times New Roman" w:hAnsi="Times New Roman" w:cs="Times New Roman"/>
          <w:szCs w:val="24"/>
        </w:rPr>
        <w:t xml:space="preserve">Η υπάρχουσα σύμβαση εργασίας του μοναδικού εκτελεστικού μέλους της Εταιρείας είναι αορίστου χρόνου και διέπεται, ως προς όλους τους όρους εργασίας που εμπεριέχονται στη σύμβαση, από τις γενικές διατάξεις της εργατικής και της ασφαλιστικής νομοθεσίας. </w:t>
      </w:r>
      <w:r w:rsidR="00063DED" w:rsidRPr="00D31E78">
        <w:rPr>
          <w:rFonts w:ascii="Times New Roman" w:hAnsi="Times New Roman" w:cs="Times New Roman"/>
          <w:szCs w:val="24"/>
        </w:rPr>
        <w:t xml:space="preserve"> </w:t>
      </w:r>
    </w:p>
    <w:p w14:paraId="3BAE4AB9" w14:textId="77777777" w:rsidR="00063DED" w:rsidRPr="00D31E78" w:rsidRDefault="00063DED" w:rsidP="00F813CC">
      <w:pPr>
        <w:spacing w:after="120" w:line="340" w:lineRule="exact"/>
        <w:jc w:val="both"/>
        <w:rPr>
          <w:rFonts w:ascii="Times New Roman" w:hAnsi="Times New Roman" w:cs="Times New Roman"/>
          <w:szCs w:val="24"/>
        </w:rPr>
      </w:pPr>
    </w:p>
    <w:tbl>
      <w:tblPr>
        <w:tblStyle w:val="TableGridLight"/>
        <w:tblW w:w="0" w:type="auto"/>
        <w:tblLook w:val="04A0" w:firstRow="1" w:lastRow="0" w:firstColumn="1" w:lastColumn="0" w:noHBand="0" w:noVBand="1"/>
      </w:tblPr>
      <w:tblGrid>
        <w:gridCol w:w="1382"/>
        <w:gridCol w:w="1382"/>
        <w:gridCol w:w="1383"/>
        <w:gridCol w:w="1383"/>
        <w:gridCol w:w="1383"/>
        <w:gridCol w:w="1383"/>
      </w:tblGrid>
      <w:tr w:rsidR="00063DED" w:rsidRPr="00D31E78" w14:paraId="5C4FA21A" w14:textId="77777777" w:rsidTr="009879A4">
        <w:tc>
          <w:tcPr>
            <w:tcW w:w="1382" w:type="dxa"/>
            <w:shd w:val="clear" w:color="auto" w:fill="EBE8EC" w:themeFill="accent6" w:themeFillTint="33"/>
          </w:tcPr>
          <w:p w14:paraId="2875738D" w14:textId="6F6F72FA" w:rsidR="00063DED" w:rsidRPr="0055468C" w:rsidRDefault="00063DED" w:rsidP="00373BC6">
            <w:pPr>
              <w:jc w:val="both"/>
              <w:rPr>
                <w:rFonts w:ascii="Times New Roman" w:hAnsi="Times New Roman" w:cs="Times New Roman"/>
                <w:sz w:val="20"/>
                <w:szCs w:val="20"/>
              </w:rPr>
            </w:pPr>
          </w:p>
        </w:tc>
        <w:tc>
          <w:tcPr>
            <w:tcW w:w="1382" w:type="dxa"/>
            <w:shd w:val="clear" w:color="auto" w:fill="EBE8EC" w:themeFill="accent6" w:themeFillTint="33"/>
          </w:tcPr>
          <w:p w14:paraId="43EB097C" w14:textId="49732612" w:rsidR="00063DED" w:rsidRPr="0055468C" w:rsidRDefault="00063DED" w:rsidP="00373BC6">
            <w:pPr>
              <w:jc w:val="both"/>
              <w:rPr>
                <w:rFonts w:ascii="Times New Roman" w:hAnsi="Times New Roman" w:cs="Times New Roman"/>
                <w:sz w:val="20"/>
                <w:szCs w:val="20"/>
              </w:rPr>
            </w:pPr>
          </w:p>
        </w:tc>
        <w:tc>
          <w:tcPr>
            <w:tcW w:w="1383" w:type="dxa"/>
            <w:shd w:val="clear" w:color="auto" w:fill="EBE8EC" w:themeFill="accent6" w:themeFillTint="33"/>
          </w:tcPr>
          <w:p w14:paraId="2D3FDE1E" w14:textId="46F1AD8F" w:rsidR="00063DED" w:rsidRPr="0055468C" w:rsidRDefault="00063DED" w:rsidP="00373BC6">
            <w:pPr>
              <w:jc w:val="both"/>
              <w:rPr>
                <w:rFonts w:ascii="Times New Roman" w:hAnsi="Times New Roman" w:cs="Times New Roman"/>
                <w:sz w:val="20"/>
                <w:szCs w:val="20"/>
              </w:rPr>
            </w:pPr>
          </w:p>
        </w:tc>
        <w:tc>
          <w:tcPr>
            <w:tcW w:w="1383" w:type="dxa"/>
            <w:shd w:val="clear" w:color="auto" w:fill="EBE8EC" w:themeFill="accent6" w:themeFillTint="33"/>
          </w:tcPr>
          <w:p w14:paraId="0638E6FD" w14:textId="409C0E95" w:rsidR="00063DED" w:rsidRPr="0055468C" w:rsidRDefault="00063DED" w:rsidP="00373BC6">
            <w:pPr>
              <w:spacing w:line="360" w:lineRule="auto"/>
              <w:jc w:val="both"/>
              <w:rPr>
                <w:rFonts w:ascii="Times New Roman" w:hAnsi="Times New Roman" w:cs="Times New Roman"/>
                <w:sz w:val="20"/>
                <w:szCs w:val="20"/>
              </w:rPr>
            </w:pPr>
          </w:p>
        </w:tc>
        <w:tc>
          <w:tcPr>
            <w:tcW w:w="1383" w:type="dxa"/>
            <w:shd w:val="clear" w:color="auto" w:fill="EBE8EC" w:themeFill="accent6" w:themeFillTint="33"/>
          </w:tcPr>
          <w:p w14:paraId="50023354" w14:textId="3DE8367B" w:rsidR="00063DED" w:rsidRPr="0055468C" w:rsidRDefault="00063DED" w:rsidP="00373BC6">
            <w:pPr>
              <w:jc w:val="both"/>
              <w:rPr>
                <w:rFonts w:ascii="Times New Roman" w:hAnsi="Times New Roman" w:cs="Times New Roman"/>
                <w:sz w:val="20"/>
                <w:szCs w:val="20"/>
              </w:rPr>
            </w:pPr>
          </w:p>
        </w:tc>
        <w:tc>
          <w:tcPr>
            <w:tcW w:w="1383" w:type="dxa"/>
            <w:shd w:val="clear" w:color="auto" w:fill="EBE8EC" w:themeFill="accent6" w:themeFillTint="33"/>
          </w:tcPr>
          <w:p w14:paraId="38958D04" w14:textId="6FE58E45" w:rsidR="00063DED" w:rsidRPr="0055468C" w:rsidRDefault="00063DED" w:rsidP="00373BC6">
            <w:pPr>
              <w:jc w:val="both"/>
              <w:rPr>
                <w:rFonts w:ascii="Times New Roman" w:hAnsi="Times New Roman" w:cs="Times New Roman"/>
                <w:sz w:val="20"/>
                <w:szCs w:val="20"/>
              </w:rPr>
            </w:pPr>
          </w:p>
        </w:tc>
      </w:tr>
      <w:tr w:rsidR="00063DED" w:rsidRPr="00D31E78" w14:paraId="51716E89" w14:textId="77777777" w:rsidTr="0055468C">
        <w:trPr>
          <w:trHeight w:val="1096"/>
        </w:trPr>
        <w:tc>
          <w:tcPr>
            <w:tcW w:w="1382" w:type="dxa"/>
          </w:tcPr>
          <w:p w14:paraId="760A9C81" w14:textId="77777777" w:rsidR="00063DED" w:rsidRPr="00D31E78" w:rsidRDefault="00063DED" w:rsidP="00373BC6">
            <w:pPr>
              <w:jc w:val="both"/>
              <w:rPr>
                <w:rFonts w:ascii="Times New Roman" w:hAnsi="Times New Roman" w:cs="Times New Roman"/>
                <w:sz w:val="18"/>
                <w:szCs w:val="18"/>
              </w:rPr>
            </w:pPr>
          </w:p>
        </w:tc>
        <w:tc>
          <w:tcPr>
            <w:tcW w:w="1382" w:type="dxa"/>
          </w:tcPr>
          <w:p w14:paraId="1022F1A2" w14:textId="77777777" w:rsidR="00063DED" w:rsidRPr="00D31E78" w:rsidRDefault="00063DED" w:rsidP="00373BC6">
            <w:pPr>
              <w:jc w:val="both"/>
              <w:rPr>
                <w:rFonts w:ascii="Times New Roman" w:hAnsi="Times New Roman" w:cs="Times New Roman"/>
                <w:sz w:val="18"/>
                <w:szCs w:val="18"/>
              </w:rPr>
            </w:pPr>
          </w:p>
        </w:tc>
        <w:tc>
          <w:tcPr>
            <w:tcW w:w="1383" w:type="dxa"/>
          </w:tcPr>
          <w:p w14:paraId="279C9591" w14:textId="77777777" w:rsidR="00063DED" w:rsidRPr="00D31E78" w:rsidRDefault="00063DED" w:rsidP="00373BC6">
            <w:pPr>
              <w:spacing w:line="360" w:lineRule="auto"/>
              <w:jc w:val="both"/>
              <w:rPr>
                <w:rFonts w:ascii="Times New Roman" w:hAnsi="Times New Roman" w:cs="Times New Roman"/>
              </w:rPr>
            </w:pPr>
          </w:p>
        </w:tc>
        <w:tc>
          <w:tcPr>
            <w:tcW w:w="1383" w:type="dxa"/>
          </w:tcPr>
          <w:p w14:paraId="3D229A9E" w14:textId="77777777" w:rsidR="00063DED" w:rsidRPr="00D31E78" w:rsidRDefault="00063DED" w:rsidP="00373BC6">
            <w:pPr>
              <w:spacing w:line="360" w:lineRule="auto"/>
              <w:jc w:val="both"/>
              <w:rPr>
                <w:rFonts w:ascii="Times New Roman" w:hAnsi="Times New Roman" w:cs="Times New Roman"/>
              </w:rPr>
            </w:pPr>
          </w:p>
        </w:tc>
        <w:tc>
          <w:tcPr>
            <w:tcW w:w="1383" w:type="dxa"/>
          </w:tcPr>
          <w:p w14:paraId="7392690D" w14:textId="77777777" w:rsidR="00063DED" w:rsidRPr="00D31E78" w:rsidRDefault="00063DED" w:rsidP="00373BC6">
            <w:pPr>
              <w:rPr>
                <w:rFonts w:ascii="Times New Roman" w:hAnsi="Times New Roman" w:cs="Times New Roman"/>
                <w:sz w:val="18"/>
                <w:szCs w:val="18"/>
              </w:rPr>
            </w:pPr>
          </w:p>
        </w:tc>
        <w:tc>
          <w:tcPr>
            <w:tcW w:w="1383" w:type="dxa"/>
          </w:tcPr>
          <w:p w14:paraId="52D506C4" w14:textId="77777777" w:rsidR="00063DED" w:rsidRPr="00D31E78" w:rsidRDefault="00063DED" w:rsidP="00373BC6">
            <w:pPr>
              <w:jc w:val="both"/>
              <w:rPr>
                <w:rFonts w:ascii="Times New Roman" w:hAnsi="Times New Roman" w:cs="Times New Roman"/>
                <w:sz w:val="18"/>
                <w:szCs w:val="18"/>
              </w:rPr>
            </w:pPr>
          </w:p>
        </w:tc>
      </w:tr>
      <w:tr w:rsidR="00063DED" w:rsidRPr="00D31E78" w14:paraId="21A9929F" w14:textId="77777777" w:rsidTr="0055468C">
        <w:trPr>
          <w:trHeight w:val="2102"/>
        </w:trPr>
        <w:tc>
          <w:tcPr>
            <w:tcW w:w="1382" w:type="dxa"/>
          </w:tcPr>
          <w:p w14:paraId="07AA55BD" w14:textId="77777777" w:rsidR="00063DED" w:rsidRPr="00D31E78" w:rsidRDefault="00063DED" w:rsidP="00373BC6">
            <w:pPr>
              <w:jc w:val="both"/>
              <w:rPr>
                <w:rFonts w:ascii="Times New Roman" w:hAnsi="Times New Roman" w:cs="Times New Roman"/>
                <w:sz w:val="18"/>
                <w:szCs w:val="18"/>
              </w:rPr>
            </w:pPr>
          </w:p>
        </w:tc>
        <w:tc>
          <w:tcPr>
            <w:tcW w:w="1382" w:type="dxa"/>
          </w:tcPr>
          <w:p w14:paraId="2CA7F094" w14:textId="77777777" w:rsidR="00063DED" w:rsidRPr="00D31E78" w:rsidRDefault="00063DED" w:rsidP="00373BC6">
            <w:pPr>
              <w:jc w:val="both"/>
              <w:rPr>
                <w:rFonts w:ascii="Times New Roman" w:hAnsi="Times New Roman" w:cs="Times New Roman"/>
              </w:rPr>
            </w:pPr>
          </w:p>
        </w:tc>
        <w:tc>
          <w:tcPr>
            <w:tcW w:w="1383" w:type="dxa"/>
          </w:tcPr>
          <w:p w14:paraId="41C52B18" w14:textId="77777777" w:rsidR="00063DED" w:rsidRPr="00D31E78" w:rsidRDefault="00063DED" w:rsidP="00373BC6">
            <w:pPr>
              <w:spacing w:line="360" w:lineRule="auto"/>
              <w:jc w:val="both"/>
              <w:rPr>
                <w:rFonts w:ascii="Times New Roman" w:hAnsi="Times New Roman" w:cs="Times New Roman"/>
              </w:rPr>
            </w:pPr>
          </w:p>
        </w:tc>
        <w:tc>
          <w:tcPr>
            <w:tcW w:w="1383" w:type="dxa"/>
          </w:tcPr>
          <w:p w14:paraId="4412FC94" w14:textId="77777777" w:rsidR="00063DED" w:rsidRPr="00D31E78" w:rsidRDefault="00063DED" w:rsidP="00373BC6">
            <w:pPr>
              <w:spacing w:line="360" w:lineRule="auto"/>
              <w:jc w:val="both"/>
              <w:rPr>
                <w:rFonts w:ascii="Times New Roman" w:hAnsi="Times New Roman" w:cs="Times New Roman"/>
              </w:rPr>
            </w:pPr>
          </w:p>
        </w:tc>
        <w:tc>
          <w:tcPr>
            <w:tcW w:w="1383" w:type="dxa"/>
          </w:tcPr>
          <w:p w14:paraId="277090D6" w14:textId="278684A7" w:rsidR="00063DED" w:rsidRPr="00D31E78" w:rsidRDefault="00063DED" w:rsidP="00373BC6">
            <w:pPr>
              <w:spacing w:line="360" w:lineRule="auto"/>
              <w:jc w:val="both"/>
              <w:rPr>
                <w:rFonts w:ascii="Times New Roman" w:hAnsi="Times New Roman" w:cs="Times New Roman"/>
              </w:rPr>
            </w:pPr>
          </w:p>
        </w:tc>
        <w:tc>
          <w:tcPr>
            <w:tcW w:w="1383" w:type="dxa"/>
          </w:tcPr>
          <w:p w14:paraId="247117C4" w14:textId="77777777" w:rsidR="00063DED" w:rsidRPr="00D31E78" w:rsidRDefault="00063DED" w:rsidP="00373BC6">
            <w:pPr>
              <w:spacing w:line="360" w:lineRule="auto"/>
              <w:jc w:val="both"/>
              <w:rPr>
                <w:rFonts w:ascii="Times New Roman" w:hAnsi="Times New Roman" w:cs="Times New Roman"/>
              </w:rPr>
            </w:pPr>
          </w:p>
        </w:tc>
      </w:tr>
    </w:tbl>
    <w:p w14:paraId="016A9E21" w14:textId="77777777" w:rsidR="00063DED" w:rsidRPr="00D31E78" w:rsidRDefault="00063DED" w:rsidP="00F813CC">
      <w:pPr>
        <w:spacing w:after="120" w:line="340" w:lineRule="exact"/>
        <w:jc w:val="both"/>
        <w:rPr>
          <w:rFonts w:ascii="Times New Roman" w:hAnsi="Times New Roman" w:cs="Times New Roman"/>
          <w:szCs w:val="24"/>
        </w:rPr>
      </w:pPr>
    </w:p>
    <w:p w14:paraId="72410C96" w14:textId="548FEAF2" w:rsidR="00F813CC" w:rsidRPr="00D31E78" w:rsidRDefault="00F813CC" w:rsidP="00F813CC">
      <w:pPr>
        <w:spacing w:after="120" w:line="340" w:lineRule="exact"/>
        <w:jc w:val="both"/>
        <w:rPr>
          <w:rFonts w:ascii="Times New Roman" w:hAnsi="Times New Roman" w:cs="Times New Roman"/>
          <w:szCs w:val="24"/>
        </w:rPr>
      </w:pPr>
      <w:r w:rsidRPr="00D31E78">
        <w:rPr>
          <w:rFonts w:ascii="Times New Roman" w:hAnsi="Times New Roman" w:cs="Times New Roman"/>
          <w:szCs w:val="24"/>
        </w:rPr>
        <w:t xml:space="preserve">Τα </w:t>
      </w:r>
      <w:r w:rsidR="00E64980" w:rsidRPr="00D31E78">
        <w:rPr>
          <w:rFonts w:ascii="Times New Roman" w:hAnsi="Times New Roman" w:cs="Times New Roman"/>
          <w:szCs w:val="24"/>
        </w:rPr>
        <w:t>λοιπά (</w:t>
      </w:r>
      <w:r w:rsidRPr="00D31E78">
        <w:rPr>
          <w:rFonts w:ascii="Times New Roman" w:hAnsi="Times New Roman" w:cs="Times New Roman"/>
          <w:szCs w:val="24"/>
        </w:rPr>
        <w:t>μη εκτελεστικά μέλη του Διοικητικού Συμβουλίου δεν διαθέτουν συμβάσεις με την Εταιρεία, τα τυχόν δε καταβαλλόμενα ποσά διέπονται από τους όρους της παρούσας Πολιτικής Αποδοχών.</w:t>
      </w:r>
    </w:p>
    <w:p w14:paraId="448CC3F7" w14:textId="77777777" w:rsidR="00F813CC" w:rsidRPr="00D31E78" w:rsidRDefault="00F813CC" w:rsidP="00F813CC">
      <w:pPr>
        <w:rPr>
          <w:rFonts w:ascii="Times New Roman" w:hAnsi="Times New Roman" w:cs="Times New Roman"/>
          <w:szCs w:val="24"/>
        </w:rPr>
      </w:pPr>
      <w:r w:rsidRPr="00D31E78">
        <w:rPr>
          <w:rFonts w:ascii="Times New Roman" w:hAnsi="Times New Roman" w:cs="Times New Roman"/>
          <w:szCs w:val="24"/>
        </w:rPr>
        <w:br w:type="page"/>
      </w:r>
    </w:p>
    <w:p w14:paraId="6746A847" w14:textId="77777777" w:rsidR="00F813CC" w:rsidRPr="00D31E78" w:rsidRDefault="00F813CC" w:rsidP="00F813CC">
      <w:pPr>
        <w:pStyle w:val="ListParagraph"/>
        <w:numPr>
          <w:ilvl w:val="0"/>
          <w:numId w:val="1"/>
        </w:numPr>
        <w:spacing w:after="120" w:line="340" w:lineRule="exact"/>
        <w:ind w:left="426"/>
        <w:rPr>
          <w:rFonts w:ascii="Times New Roman" w:hAnsi="Times New Roman" w:cs="Times New Roman"/>
          <w:b/>
          <w:szCs w:val="24"/>
        </w:rPr>
      </w:pPr>
      <w:r w:rsidRPr="00D31E78">
        <w:rPr>
          <w:rFonts w:ascii="Times New Roman" w:hAnsi="Times New Roman" w:cs="Times New Roman"/>
          <w:b/>
          <w:szCs w:val="24"/>
        </w:rPr>
        <w:lastRenderedPageBreak/>
        <w:t>Αναθεώρηση και προσωρινή παρέκκλιση</w:t>
      </w:r>
    </w:p>
    <w:p w14:paraId="1CB2ABEC" w14:textId="77777777" w:rsidR="00F813CC" w:rsidRPr="00D31E78" w:rsidRDefault="00F813CC" w:rsidP="00F813CC">
      <w:pPr>
        <w:pStyle w:val="ListParagraph"/>
        <w:spacing w:after="120" w:line="340" w:lineRule="exact"/>
        <w:ind w:left="426"/>
        <w:rPr>
          <w:rFonts w:ascii="Times New Roman" w:hAnsi="Times New Roman" w:cs="Times New Roman"/>
          <w:b/>
          <w:szCs w:val="24"/>
        </w:rPr>
      </w:pPr>
    </w:p>
    <w:p w14:paraId="0D7A4771" w14:textId="0446C4FE" w:rsidR="00F813CC" w:rsidRPr="00D31E78" w:rsidRDefault="00063DED" w:rsidP="00F813CC">
      <w:pPr>
        <w:spacing w:after="120" w:line="340" w:lineRule="exact"/>
        <w:ind w:firstLine="720"/>
        <w:jc w:val="both"/>
        <w:rPr>
          <w:rFonts w:ascii="Times New Roman" w:hAnsi="Times New Roman" w:cs="Times New Roman"/>
        </w:rPr>
      </w:pPr>
      <w:r w:rsidRPr="00D31E78">
        <w:rPr>
          <w:rFonts w:ascii="Times New Roman" w:hAnsi="Times New Roman" w:cs="Times New Roman"/>
        </w:rPr>
        <w:t xml:space="preserve">Το Διοικητικό Συμβούλιο </w:t>
      </w:r>
      <w:r w:rsidR="00F813CC" w:rsidRPr="00D31E78">
        <w:rPr>
          <w:rFonts w:ascii="Times New Roman" w:hAnsi="Times New Roman" w:cs="Times New Roman"/>
        </w:rPr>
        <w:t xml:space="preserve">δύναται </w:t>
      </w:r>
      <w:r w:rsidR="00E64980" w:rsidRPr="00D31E78">
        <w:rPr>
          <w:rFonts w:ascii="Times New Roman" w:hAnsi="Times New Roman" w:cs="Times New Roman"/>
        </w:rPr>
        <w:t xml:space="preserve">να αποφασίζει </w:t>
      </w:r>
      <w:r w:rsidR="00F813CC" w:rsidRPr="00D31E78">
        <w:rPr>
          <w:rFonts w:ascii="Times New Roman" w:hAnsi="Times New Roman" w:cs="Times New Roman"/>
        </w:rPr>
        <w:t xml:space="preserve">για την αναθεώρηση </w:t>
      </w:r>
      <w:r w:rsidR="00E64980" w:rsidRPr="00D31E78">
        <w:rPr>
          <w:rFonts w:ascii="Times New Roman" w:hAnsi="Times New Roman" w:cs="Times New Roman"/>
        </w:rPr>
        <w:t xml:space="preserve">της </w:t>
      </w:r>
      <w:r w:rsidR="00F813CC" w:rsidRPr="00D31E78">
        <w:rPr>
          <w:rFonts w:ascii="Times New Roman" w:hAnsi="Times New Roman" w:cs="Times New Roman"/>
        </w:rPr>
        <w:t xml:space="preserve">Πολιτικής Αποδοχών, </w:t>
      </w:r>
      <w:r w:rsidR="00E64980" w:rsidRPr="00D31E78">
        <w:rPr>
          <w:rFonts w:ascii="Times New Roman" w:hAnsi="Times New Roman" w:cs="Times New Roman"/>
        </w:rPr>
        <w:t>για την οποία, κατά τα λοιπά, ακολουθείται η</w:t>
      </w:r>
      <w:r w:rsidR="00F813CC" w:rsidRPr="00D31E78">
        <w:rPr>
          <w:rFonts w:ascii="Times New Roman" w:hAnsi="Times New Roman" w:cs="Times New Roman"/>
        </w:rPr>
        <w:t xml:space="preserve"> διαδικασία του άρθρου 2.  Σε κάθε περίπτωση, η αναθεώρηση της Πολιτικής Αποδοχών λαμβάνει </w:t>
      </w:r>
      <w:r w:rsidR="00F813CC" w:rsidRPr="00516324">
        <w:rPr>
          <w:rFonts w:ascii="Times New Roman" w:hAnsi="Times New Roman" w:cs="Times New Roman"/>
        </w:rPr>
        <w:t xml:space="preserve">χώρα </w:t>
      </w:r>
      <w:r w:rsidR="00453446" w:rsidRPr="005E2405">
        <w:rPr>
          <w:rFonts w:ascii="Times New Roman" w:hAnsi="Times New Roman" w:cs="Times New Roman"/>
        </w:rPr>
        <w:t>κάθε (4</w:t>
      </w:r>
      <w:r w:rsidR="00F813CC" w:rsidRPr="005E2405">
        <w:rPr>
          <w:rFonts w:ascii="Times New Roman" w:hAnsi="Times New Roman" w:cs="Times New Roman"/>
        </w:rPr>
        <w:t>)</w:t>
      </w:r>
      <w:r w:rsidR="00F813CC" w:rsidRPr="00516324">
        <w:rPr>
          <w:rFonts w:ascii="Times New Roman" w:hAnsi="Times New Roman" w:cs="Times New Roman"/>
        </w:rPr>
        <w:t xml:space="preserve"> χρόνια</w:t>
      </w:r>
      <w:r w:rsidR="00F813CC" w:rsidRPr="00D31E78">
        <w:rPr>
          <w:rFonts w:ascii="Times New Roman" w:hAnsi="Times New Roman" w:cs="Times New Roman"/>
        </w:rPr>
        <w:t xml:space="preserve"> ή σε κάθε περίπτωση που σημειώνεται ουσιώδης μεταβολή των συνθηκών με τις οποίες καταρτίσθηκε</w:t>
      </w:r>
    </w:p>
    <w:p w14:paraId="27137133" w14:textId="77777777" w:rsidR="00F813CC" w:rsidRPr="00D31E78" w:rsidRDefault="00063DED" w:rsidP="00F813CC">
      <w:pPr>
        <w:spacing w:after="120" w:line="340" w:lineRule="exact"/>
        <w:ind w:firstLine="720"/>
        <w:jc w:val="both"/>
        <w:rPr>
          <w:rFonts w:ascii="Times New Roman" w:hAnsi="Times New Roman" w:cs="Times New Roman"/>
        </w:rPr>
      </w:pPr>
      <w:r w:rsidRPr="00D31E78">
        <w:rPr>
          <w:rFonts w:ascii="Times New Roman" w:hAnsi="Times New Roman" w:cs="Times New Roman"/>
        </w:rPr>
        <w:t xml:space="preserve">Κατόπιν απόφασης του Διοικητικού Συμβουλίου, </w:t>
      </w:r>
      <w:r w:rsidR="00F813CC" w:rsidRPr="00D31E78">
        <w:rPr>
          <w:rFonts w:ascii="Times New Roman" w:hAnsi="Times New Roman" w:cs="Times New Roman"/>
        </w:rPr>
        <w:t>είναι δυνατή σε εξαιρετικές περιστάσεις η προσωρινή παρέκκλιση από την Πολιτική Αποδοχών ως προς όλα τα στοιχεία τα οποία ορίζονται στην παράγραφο 3 της Πολιτικής, υπό την προϋπόθεση ότι η παρέκκλιση αυτή είναι αναγκαία για την μακροπρόθεσμη εξυπηρέτηση των συμφερόντων της Εταιρείας στο σύνολό της ή για την διασφάλιση της βιωσιμότητάς της, γεγονός που αιτιολογείται στην σχετική απόφαση του Διοικητικού Συμβουλίου.</w:t>
      </w:r>
    </w:p>
    <w:p w14:paraId="2FEA7F61" w14:textId="77777777" w:rsidR="00F813CC" w:rsidRPr="00D31E78" w:rsidRDefault="00F813CC" w:rsidP="00F813CC">
      <w:pPr>
        <w:pStyle w:val="ListParagraph"/>
        <w:spacing w:after="120" w:line="340" w:lineRule="exact"/>
        <w:ind w:left="426"/>
        <w:rPr>
          <w:rFonts w:ascii="Times New Roman" w:hAnsi="Times New Roman" w:cs="Times New Roman"/>
          <w:b/>
          <w:szCs w:val="24"/>
        </w:rPr>
      </w:pPr>
    </w:p>
    <w:p w14:paraId="52257B83" w14:textId="77777777" w:rsidR="00EC3A45" w:rsidRPr="00D31E78" w:rsidRDefault="00EC3A45" w:rsidP="001D0475">
      <w:pPr>
        <w:spacing w:after="120" w:line="340" w:lineRule="exact"/>
        <w:ind w:firstLine="709"/>
        <w:jc w:val="both"/>
        <w:rPr>
          <w:rFonts w:ascii="Times New Roman" w:hAnsi="Times New Roman" w:cs="Times New Roman"/>
          <w:sz w:val="24"/>
          <w:szCs w:val="24"/>
        </w:rPr>
      </w:pPr>
    </w:p>
    <w:sectPr w:rsidR="00EC3A45" w:rsidRPr="00D31E78" w:rsidSect="00FE1AB4">
      <w:headerReference w:type="default" r:id="rId8"/>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5E7E6" w14:textId="77777777" w:rsidR="00D16B8D" w:rsidRDefault="00D16B8D" w:rsidP="001D0475">
      <w:pPr>
        <w:spacing w:after="0" w:line="240" w:lineRule="auto"/>
      </w:pPr>
      <w:r>
        <w:separator/>
      </w:r>
    </w:p>
  </w:endnote>
  <w:endnote w:type="continuationSeparator" w:id="0">
    <w:p w14:paraId="0DFBA76C" w14:textId="77777777" w:rsidR="00D16B8D" w:rsidRDefault="00D16B8D" w:rsidP="001D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7112"/>
      <w:docPartObj>
        <w:docPartGallery w:val="Page Numbers (Bottom of Page)"/>
        <w:docPartUnique/>
      </w:docPartObj>
    </w:sdtPr>
    <w:sdtEndPr/>
    <w:sdtContent>
      <w:p w14:paraId="1418E56E" w14:textId="62F7A37B" w:rsidR="005A0B65" w:rsidRDefault="00AB435C">
        <w:pPr>
          <w:pStyle w:val="Footer"/>
          <w:jc w:val="center"/>
        </w:pPr>
        <w:r>
          <w:fldChar w:fldCharType="begin"/>
        </w:r>
        <w:r>
          <w:instrText>PAGE   \* MERGEFORMAT</w:instrText>
        </w:r>
        <w:r>
          <w:fldChar w:fldCharType="separate"/>
        </w:r>
        <w:r w:rsidR="005E2405">
          <w:rPr>
            <w:noProof/>
          </w:rPr>
          <w:t>8</w:t>
        </w:r>
        <w:r>
          <w:fldChar w:fldCharType="end"/>
        </w:r>
      </w:p>
    </w:sdtContent>
  </w:sdt>
  <w:p w14:paraId="1A26763F" w14:textId="77777777" w:rsidR="005A0B65" w:rsidRDefault="00D1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33B5" w14:textId="77777777" w:rsidR="00D16B8D" w:rsidRDefault="00D16B8D" w:rsidP="001D0475">
      <w:pPr>
        <w:spacing w:after="0" w:line="240" w:lineRule="auto"/>
      </w:pPr>
      <w:r>
        <w:separator/>
      </w:r>
    </w:p>
  </w:footnote>
  <w:footnote w:type="continuationSeparator" w:id="0">
    <w:p w14:paraId="598F52F1" w14:textId="77777777" w:rsidR="00D16B8D" w:rsidRDefault="00D16B8D" w:rsidP="001D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4AA3" w14:textId="3C4D532D" w:rsidR="004420F3" w:rsidRPr="00D31E78" w:rsidRDefault="00D31E78">
    <w:pPr>
      <w:pStyle w:val="Header"/>
      <w:rPr>
        <w:rFonts w:ascii="Times New Roman" w:hAnsi="Times New Roman" w:cs="Times New Roman"/>
        <w:b/>
        <w:i/>
        <w:sz w:val="28"/>
        <w:u w:val="single"/>
      </w:rPr>
    </w:pPr>
    <w:r w:rsidRPr="00D31E78">
      <w:rPr>
        <w:rFonts w:ascii="Times New Roman" w:hAnsi="Times New Roman" w:cs="Times New Roman"/>
        <w:b/>
        <w:iCs/>
        <w:sz w:val="28"/>
      </w:rPr>
      <w:tab/>
    </w:r>
    <w:r w:rsidRPr="00D31E78">
      <w:rPr>
        <w:rFonts w:ascii="Times New Roman" w:hAnsi="Times New Roman" w:cs="Times New Roman"/>
        <w:b/>
        <w:iCs/>
        <w:sz w:val="28"/>
      </w:rPr>
      <w:tab/>
    </w:r>
    <w:r w:rsidRPr="00D31E78">
      <w:rPr>
        <w:rFonts w:ascii="Times New Roman" w:hAnsi="Times New Roman" w:cs="Times New Roman"/>
        <w:b/>
        <w:iCs/>
        <w:sz w:val="28"/>
      </w:rPr>
      <w:tab/>
    </w:r>
    <w:r w:rsidR="00AB435C" w:rsidRPr="00D31E78">
      <w:rPr>
        <w:rFonts w:ascii="Times New Roman" w:hAnsi="Times New Roman" w:cs="Times New Roman"/>
        <w:b/>
        <w:i/>
        <w:sz w:val="28"/>
        <w:u w:val="single"/>
      </w:rPr>
      <w:t xml:space="preserve">ΣΧΕΔΙΟ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5567"/>
    <w:multiLevelType w:val="multilevel"/>
    <w:tmpl w:val="1B3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D2686"/>
    <w:multiLevelType w:val="hybridMultilevel"/>
    <w:tmpl w:val="A7109300"/>
    <w:lvl w:ilvl="0" w:tplc="04090013">
      <w:start w:val="1"/>
      <w:numFmt w:val="upperRoman"/>
      <w:lvlText w:val="%1."/>
      <w:lvlJc w:val="righ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 w15:restartNumberingAfterBreak="0">
    <w:nsid w:val="311A79E3"/>
    <w:multiLevelType w:val="hybridMultilevel"/>
    <w:tmpl w:val="47969480"/>
    <w:lvl w:ilvl="0" w:tplc="B91CEFA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C47458"/>
    <w:multiLevelType w:val="hybridMultilevel"/>
    <w:tmpl w:val="C6C4FF16"/>
    <w:lvl w:ilvl="0" w:tplc="B91CEFA8">
      <w:start w:val="1"/>
      <w:numFmt w:val="bullet"/>
      <w:lvlText w:val=""/>
      <w:lvlJc w:val="left"/>
      <w:pPr>
        <w:ind w:left="420" w:hanging="360"/>
      </w:pPr>
      <w:rPr>
        <w:rFonts w:ascii="Wingdings" w:hAnsi="Wingdings"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4" w15:restartNumberingAfterBreak="0">
    <w:nsid w:val="6E7C4B18"/>
    <w:multiLevelType w:val="hybridMultilevel"/>
    <w:tmpl w:val="6FE652A2"/>
    <w:lvl w:ilvl="0" w:tplc="04090009">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4A"/>
    <w:rsid w:val="0001359D"/>
    <w:rsid w:val="00063DED"/>
    <w:rsid w:val="00080FD7"/>
    <w:rsid w:val="000B4E1B"/>
    <w:rsid w:val="000F0A7A"/>
    <w:rsid w:val="00192E39"/>
    <w:rsid w:val="001D0475"/>
    <w:rsid w:val="002001C8"/>
    <w:rsid w:val="00341105"/>
    <w:rsid w:val="003C6397"/>
    <w:rsid w:val="00402DEB"/>
    <w:rsid w:val="00453446"/>
    <w:rsid w:val="00516324"/>
    <w:rsid w:val="0055468C"/>
    <w:rsid w:val="005877BC"/>
    <w:rsid w:val="005E2405"/>
    <w:rsid w:val="0063184A"/>
    <w:rsid w:val="00634103"/>
    <w:rsid w:val="0074331F"/>
    <w:rsid w:val="008660EC"/>
    <w:rsid w:val="009879A4"/>
    <w:rsid w:val="00AB435C"/>
    <w:rsid w:val="00AB6242"/>
    <w:rsid w:val="00AF0015"/>
    <w:rsid w:val="00B1286B"/>
    <w:rsid w:val="00BB4288"/>
    <w:rsid w:val="00C57559"/>
    <w:rsid w:val="00C61E0D"/>
    <w:rsid w:val="00C7096E"/>
    <w:rsid w:val="00CE79C4"/>
    <w:rsid w:val="00D16B8D"/>
    <w:rsid w:val="00D31E78"/>
    <w:rsid w:val="00D323AA"/>
    <w:rsid w:val="00D57491"/>
    <w:rsid w:val="00D94F86"/>
    <w:rsid w:val="00E00DC7"/>
    <w:rsid w:val="00E40C68"/>
    <w:rsid w:val="00E64980"/>
    <w:rsid w:val="00EC1BEA"/>
    <w:rsid w:val="00EC3A45"/>
    <w:rsid w:val="00F81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BCF0"/>
  <w15:chartTrackingRefBased/>
  <w15:docId w15:val="{DA753EAA-03B1-4D56-A544-74A90C28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paragraph" w:styleId="ListParagraph">
    <w:name w:val="List Paragraph"/>
    <w:basedOn w:val="Normal"/>
    <w:uiPriority w:val="34"/>
    <w:qFormat/>
    <w:rsid w:val="00F813CC"/>
    <w:pPr>
      <w:ind w:left="720"/>
      <w:contextualSpacing/>
    </w:pPr>
  </w:style>
  <w:style w:type="character" w:styleId="CommentReference">
    <w:name w:val="annotation reference"/>
    <w:basedOn w:val="DefaultParagraphFont"/>
    <w:uiPriority w:val="99"/>
    <w:semiHidden/>
    <w:unhideWhenUsed/>
    <w:rsid w:val="00F813CC"/>
    <w:rPr>
      <w:sz w:val="16"/>
      <w:szCs w:val="16"/>
    </w:rPr>
  </w:style>
  <w:style w:type="paragraph" w:styleId="CommentText">
    <w:name w:val="annotation text"/>
    <w:basedOn w:val="Normal"/>
    <w:link w:val="CommentTextChar"/>
    <w:uiPriority w:val="99"/>
    <w:semiHidden/>
    <w:unhideWhenUsed/>
    <w:rsid w:val="00F813CC"/>
    <w:pPr>
      <w:spacing w:line="240" w:lineRule="auto"/>
    </w:pPr>
    <w:rPr>
      <w:sz w:val="20"/>
      <w:szCs w:val="20"/>
    </w:rPr>
  </w:style>
  <w:style w:type="character" w:customStyle="1" w:styleId="CommentTextChar">
    <w:name w:val="Comment Text Char"/>
    <w:basedOn w:val="DefaultParagraphFont"/>
    <w:link w:val="CommentText"/>
    <w:uiPriority w:val="99"/>
    <w:semiHidden/>
    <w:rsid w:val="00F813CC"/>
    <w:rPr>
      <w:sz w:val="20"/>
      <w:szCs w:val="20"/>
    </w:rPr>
  </w:style>
  <w:style w:type="table" w:styleId="TableGrid">
    <w:name w:val="Table Grid"/>
    <w:basedOn w:val="TableNormal"/>
    <w:uiPriority w:val="39"/>
    <w:unhideWhenUsed/>
    <w:rsid w:val="00F8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3CC"/>
  </w:style>
  <w:style w:type="paragraph" w:styleId="Footer">
    <w:name w:val="footer"/>
    <w:basedOn w:val="Normal"/>
    <w:link w:val="FooterChar"/>
    <w:uiPriority w:val="99"/>
    <w:unhideWhenUsed/>
    <w:rsid w:val="00F81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3CC"/>
  </w:style>
  <w:style w:type="paragraph" w:styleId="BalloonText">
    <w:name w:val="Balloon Text"/>
    <w:basedOn w:val="Normal"/>
    <w:link w:val="BalloonTextChar"/>
    <w:uiPriority w:val="99"/>
    <w:semiHidden/>
    <w:unhideWhenUsed/>
    <w:rsid w:val="00F8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3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13CC"/>
    <w:rPr>
      <w:b/>
      <w:bCs/>
    </w:rPr>
  </w:style>
  <w:style w:type="character" w:customStyle="1" w:styleId="CommentSubjectChar">
    <w:name w:val="Comment Subject Char"/>
    <w:basedOn w:val="CommentTextChar"/>
    <w:link w:val="CommentSubject"/>
    <w:uiPriority w:val="99"/>
    <w:semiHidden/>
    <w:rsid w:val="00F813CC"/>
    <w:rPr>
      <w:b/>
      <w:bCs/>
      <w:sz w:val="20"/>
      <w:szCs w:val="20"/>
    </w:rPr>
  </w:style>
  <w:style w:type="table" w:styleId="GridTable4-Accent6">
    <w:name w:val="Grid Table 4 Accent 6"/>
    <w:basedOn w:val="TableNormal"/>
    <w:uiPriority w:val="49"/>
    <w:rsid w:val="00D323AA"/>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GridLight">
    <w:name w:val="Grid Table Light"/>
    <w:basedOn w:val="TableNormal"/>
    <w:uiPriority w:val="40"/>
    <w:rsid w:val="00D574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546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4B08-B808-4072-B5FC-BA21C187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1816</Words>
  <Characters>10356</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Themelis Zamparas</dc:creator>
  <cp:keywords/>
  <dc:description/>
  <cp:lastModifiedBy>Kyriakos, Kostas</cp:lastModifiedBy>
  <cp:revision>3</cp:revision>
  <dcterms:created xsi:type="dcterms:W3CDTF">2019-06-24T15:23:00Z</dcterms:created>
  <dcterms:modified xsi:type="dcterms:W3CDTF">2019-06-24T16:33:00Z</dcterms:modified>
</cp:coreProperties>
</file>